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5A" w:rsidRPr="009212F4" w:rsidRDefault="002A385A" w:rsidP="002A38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ПРОИЗВОДСТВО </w:t>
      </w:r>
      <w:r w:rsidRPr="009212F4">
        <w:rPr>
          <w:rFonts w:ascii="Times New Roman" w:hAnsi="Times New Roman" w:cs="Times New Roman"/>
          <w:b/>
          <w:sz w:val="36"/>
          <w:szCs w:val="36"/>
        </w:rPr>
        <w:t>ПРОДУКЦИИ РАСТЕНИЕВОДСТВА</w:t>
      </w:r>
    </w:p>
    <w:p w:rsidR="002A385A" w:rsidRPr="00743E61" w:rsidRDefault="002A385A" w:rsidP="002A3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Вопросы к экзамену по дисциплине «Производство продукции растениеводства»</w:t>
      </w:r>
    </w:p>
    <w:p w:rsidR="002A385A" w:rsidRPr="00743E61" w:rsidRDefault="002A385A" w:rsidP="002A38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 – как основная отрасль сельскохозяйственного производства (значение, цель и задачи).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Достижения, изменения в отрасли растениеводства в </w:t>
      </w:r>
      <w:r w:rsidRPr="00743E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столетии, современное состояние.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 – как важная отрасль науки (значение, задачи, достижения, ученые русской науки).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роста и развития сельскохозяйственных культур. Законы земледелия и растениеводства.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Семеноведение – цель и задачи. Понятия о семенах, их строение у зерновых и зернобобовых культур.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Сортовой контроль – значение, кто и когда осуществляет, кто и какие документы выдают?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Семенной контроль – значение, кто и когда проводит, кто и какие выдает документы?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Посевные качества семян и их характеристики. ГОСТ на посевные качества семян зерновых.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вегетации и их характеристика у хлебных злаковых к/р. Влияние внешних факторов на прохождение отдельных фаз. Вегетационный период.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прорастание семян. Роль ферментов в этих процессах.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 всхожесть, факторы ее определяющие, пути повышения у зерновых культур.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продуктивная кустистость зерновых культур. Факторы ее определяющие  и пути регулирования.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Налив, созревание зерна. Характеристика фаз по растениям и семенам при созревании.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 и послеуборочное дозревание семян, его значение в практике. Пути ускорения.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 – биологическая, бункерная, амбарная. Расчет биологической урожайности, единицы измерения (с 1 м</w:t>
      </w:r>
      <w:r w:rsidRPr="00743E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га).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урожайности зерновых культур, картофеля. Факторы, ее определяющие.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густоты оптимального стеблестоя зерновых культур, густоты растений гречихи, картофеля, зернобобовых.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продуктивности соцветия, растения, куста (у картофеля).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зерна, как основная задача растениеводства. Пути решения проблемы в стране и Пермском крае.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производства зерна в мире, стране и Пермском крае, динамика изменений и перспективы развития.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технологии возделывания сельскохозяйственных культур, их характеристика. Экономическая и энергетическая оценки технологических приемов. 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установления норм высева зерновых культур, условия и факторы ее определяющие.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высева сельскохозяйственных культур в Пермском крае (млн. всхожих зерен). Расчет теоретических норм высева (без поправки и с поправкой).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совместимости компонентов в смешанных и совместных посевах Бленды.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посева сельскохозяйственных культур. Их характеристика, биологические обоснования их выбора.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посева и глубина заделки семян, биологические обоснования выбора приемов.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способы уборки сельскохозяйственных культур. Биологические обоснования выбора, машины для скашивания, подбора и обмолота, уборки соломы.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Озимые культуры. Биологические и организационно-хозяйственные преимущества перед яровыми. Факторы перезимовки, условия для закладки и ее характеристика.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гибели озимых при перезимовке и меры борьбы с ними. Причины неустойчивости урожаев озимой пшеницы в лесной зоне.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Озимая рожь. Значение, площади, урожайность, районы возделывания, биологические особенности.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 и технология возделывания озимой ржи в Нечерноземной зоне.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осенней и весенней подготовки семян к посеву.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Тритикале. Морфологические, биологические и агротехнические особенности.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Озимая пшеница. Значение, площади посева, урожайность, районы возделывания, биологические особенности.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 и технология возделывания озимой пшеницы в Нечерноземной зоне.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Яровая пшеница мягкая. Значение, площади, урожайность, районы возделывания, биологические особенности.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Хлебопекарные качества. Сильные и ценные пшеницы, показатели качества. Сорта. Влияние внешних факторов на качество зерна.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 и технология возделывания, биологические особенности, сорта, основы агротехники.</w:t>
      </w:r>
    </w:p>
    <w:p w:rsidR="002A385A" w:rsidRPr="00743E61" w:rsidRDefault="002A385A" w:rsidP="002A385A">
      <w:pPr>
        <w:numPr>
          <w:ilvl w:val="0"/>
          <w:numId w:val="2"/>
        </w:numPr>
        <w:tabs>
          <w:tab w:val="clear" w:pos="1260"/>
          <w:tab w:val="num" w:pos="0"/>
          <w:tab w:val="left" w:pos="1080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 и технология возделывания яровой пшеницы в Сибири.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40. Твердая пшеница. Значение, районы размещения, биологические особенности, урожайность, сорта.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41. Ячмень. Значение, площади, урожайность, районы возделывания, биологические особенности. Сорта и особенности агротехники пивоваренного ячменя.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Сорта и технология возделывания ячменя в Предуралье.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Овес. Значение, площади, урожайность, районы возделывания,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Овес. Сорта и технология возделывания в Нечерноземной зоне. 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Рис. Значение, распространение и площади посева в мировом земледелии, в РФ. Урожайность.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46. Сорта и технология возделывания риса на Северном Кавказе.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47. Гречиха, значение, площади, урожайность, районы возделывания, биологические особенности развития. Причины низких неустойчивых урожаев и меры по их устранению.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48. Сорта и технология возделывания гречихи и в Предуралье.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Просо. Значение, районы размещения, площади, урожайность,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50. Сорта и технология возделывания просо в Предуралье.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51. Кукуруза на зерно. Значение, районы размещения, урожайность, биологическая характеристика.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52. Сорта и гибриды кукурузы. Гетерозис, техника получения гибридов.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53. Технология возделывания кукурузы на зерно (на Северном Кавказе). 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54. Сорго. Значение, урожайность, районы возделывания. Биологические особенности. Основы агротехники.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Зернобобовые культуры. Общая характеристика. Химический состав. Значение, площади, урожайность, районы возделывания, биологические особенности.  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Соя. Значение, районы распространения, площади посева, урожайность,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57. Сорта и технология возделывания сои.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58. Фасоль. Значение, районы возделывания, биологические особенности, сорта, основы агротехники.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59. Горох. Значение, площади посева, урожайность,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60. Сорта и технологии возделывания гороха в Предуралье.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61. Кормовые бобы. Значение, биологические особенности, сорта, основы агротехники.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Значение, классификация, биологические особенности люпинов. Сорта.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63. Люпин однолетний, технология возделывания на удобрения и семена.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64. Многолетний люпин. Значение, использование, особенности агротехники.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65. Нут. Значение, районы распространения, биологические особенности, сорта, основы агротехники.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66. Чечевица. Значение, районы распространения, биологические особенности, основы агротехники.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67. Картофель. Значение, площади, урожайность, биологические особенности. Сорта Предуралья.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68. Технологии возделывания картофеля и их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69. Технология возделывания товарного картофеля при посадке в гребни.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70. Картофель. Особенности и технология возделывания раннего картофеля. Экономическая целесообразность.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71. Голландская технология возделывания картофеля и ее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72. Особенности и технология возделывания семенного картофеля при гребнистой посадке.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73. Сахарная свекла. Значение, районы возделывания, площади, урожайность,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Сахарная свекла. Сорта и технология возделывания для технического использования.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75. Значение, история, районы размещения, площади посева, урожайность подсолнечника, достижения селекции,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Подсолнечник. Сорта. Технология возделывания подсолнечника на семена. 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77. Рапс, значение, биологические особенности и технология возделывания на семена.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78. Клещевина. Значение, районы выращивания, ботанические и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Значение, районы возделывания, биологические особенности, сорта, основы агротехники льна масличного.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80. Горчица белая и сарептская. Значение, районы размещения, морфологические и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81. Эфирномасличные растения. Биологическая характеристика культур, значение, районы размещения.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Значение прядильных культур. Классификация прядильных культур по месту формирования волокна, значение, площади, урожайность, показатели качества и их характеристика.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83. Лен-долгунец. Значение, площади, урожайность, биологические особенности.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84. Лен-долгунец. Сорта и технология возделывания на волокно.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85. Технология первичной переработки льна. Показатели качества льна (соломки, тресты, волокна).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86. Конопля. Значение, географические типы, районы их размещения. Ботаническая и биологическая характеристика конопли, основы агротехники.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87. Масличные культуры, общая характеристика, значение, площади, урожайность, районы возделывания, показатели качества растительных масел.</w:t>
      </w:r>
    </w:p>
    <w:p w:rsidR="002A385A" w:rsidRPr="00743E61" w:rsidRDefault="002A385A" w:rsidP="002A385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90. Потери зерна (механические и биологические), пути их снижения. Характеристика истекания зерна (ЭМИС). Факторы его определяющие.</w:t>
      </w:r>
    </w:p>
    <w:p w:rsidR="002A385A" w:rsidRPr="00743E61" w:rsidRDefault="002A385A" w:rsidP="002A385A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85A" w:rsidRPr="00743E61" w:rsidRDefault="002A385A" w:rsidP="002A385A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Список рекомендуемой литературы</w:t>
      </w:r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</w:p>
    <w:p w:rsidR="002A385A" w:rsidRPr="00743E61" w:rsidRDefault="002A385A" w:rsidP="002A385A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Агробиологические основы производства, хранения и переработки продукции растениеводства : &lt;учебное пособие&gt;* / Г. И. Баздырев [и др.]. - Москва : ИНФРА-М , 2014. - 724с.</w:t>
      </w:r>
    </w:p>
    <w:p w:rsidR="002A385A" w:rsidRPr="00743E61" w:rsidRDefault="002A385A" w:rsidP="002A385A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Коломейченко, В.В. Растениеводство. – М.:Агробизнесцентр, 2007 – 600 с.</w:t>
      </w:r>
    </w:p>
    <w:p w:rsidR="002A385A" w:rsidRPr="00743E61" w:rsidRDefault="002A385A" w:rsidP="002A385A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Мельникова Н.И. Технология производства продукции растениеводства : учебное пособие / Н. И. Мельникова, В. А. Попов, А. С. Богатырева. - Пермь : Пермская ГСХА, 2011. - 136с.</w:t>
      </w:r>
    </w:p>
    <w:p w:rsidR="002A385A" w:rsidRPr="00743E61" w:rsidRDefault="002A385A" w:rsidP="002A385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</w:t>
      </w:r>
    </w:p>
    <w:p w:rsidR="002A385A" w:rsidRPr="00743E61" w:rsidRDefault="002A385A" w:rsidP="002A38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Агрохимия и система удобрения/ Под ред. Петухова М.П. – М.:Агропромиздат, 1985. – 351 с.</w:t>
      </w:r>
    </w:p>
    <w:p w:rsidR="002A385A" w:rsidRPr="00743E61" w:rsidRDefault="002A385A" w:rsidP="002A38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Елисеев, С.Л. Пособие к лабораторно-практическим занятиям по растениеводству и кормопроизводству: Часть 1. Злаковые хлебные и крупяные культуры./ С.Л. Елисеев, А.Р. Кутакова, В.М. Макарова и др.; под общ. ред. В.М. Макаровой. - Пермь: Изд-во Пермской ГСХА, 2006. – 74 с.</w:t>
      </w:r>
    </w:p>
    <w:p w:rsidR="002A385A" w:rsidRPr="00743E61" w:rsidRDefault="002A385A" w:rsidP="002A38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Елисеев, С.Л. Пособие к лабораторно-практическим занятиям по растениеводству и кормопроизводству: Часть 2. Зернобобовые и технические культуры, картофель/ С.Л. Елисеев, А.Р. Кутакова, И.В. Осокин и др.; под общ. ред. И.В. Осокина. - Пермь: Изд-во Пермской ГСХА, 2006. – 110 с.</w:t>
      </w:r>
    </w:p>
    <w:p w:rsidR="002A385A" w:rsidRPr="00743E61" w:rsidRDefault="002A385A" w:rsidP="002A38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Макарова, В.М. Структура урожайности зерновых культур и ее регулирование. Пермь: СХА, 1995.-144 с.</w:t>
      </w:r>
    </w:p>
    <w:p w:rsidR="002A385A" w:rsidRPr="00743E61" w:rsidRDefault="002A385A" w:rsidP="002A38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Осокин, И.В. Пособие к лабораторно-практическим занятиям по растениеводству и кормопроизводству: Часть 3. Кормовые культуры/ И.В. Осокин, С.Л. Елисеев, И.А. Ходырев и др.; под общ. ред. И.В. Осокина. - Пермь: Изд-во Пермской ГСХА, 2006. – 53 с.</w:t>
      </w:r>
    </w:p>
    <w:p w:rsidR="002A385A" w:rsidRPr="00743E61" w:rsidRDefault="002A385A" w:rsidP="002A38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Прокошев, В.Н. Полевые культуры Предуралья. Пермь: Кн. Изд-во, 1968.-365 с.</w:t>
      </w:r>
    </w:p>
    <w:p w:rsidR="002A385A" w:rsidRPr="00743E61" w:rsidRDefault="002A385A" w:rsidP="002A38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Ренев Е.А. Программирование урожайности полевых культур в Предуралье. </w:t>
      </w: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Пермь, 2005. – 45 с.</w:t>
      </w:r>
    </w:p>
    <w:p w:rsidR="002A385A" w:rsidRPr="00743E61" w:rsidRDefault="002A385A" w:rsidP="002A38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 полевых культур: учебное пособие/Под редакцией И.В. Осокина. – Пермь: Изд-во Пермской ГСХА, 2006. – 105 с.</w:t>
      </w:r>
    </w:p>
    <w:p w:rsidR="002A385A" w:rsidRPr="00743E61" w:rsidRDefault="002A385A" w:rsidP="002A385A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Периодические издания:</w:t>
      </w:r>
    </w:p>
    <w:p w:rsidR="002A385A" w:rsidRPr="00743E61" w:rsidRDefault="002A385A" w:rsidP="002A38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Аграрная наука</w:t>
      </w:r>
    </w:p>
    <w:p w:rsidR="002A385A" w:rsidRPr="00743E61" w:rsidRDefault="002A385A" w:rsidP="002A38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 ХХ</w:t>
      </w:r>
      <w:r w:rsidRPr="00743E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2A385A" w:rsidRPr="00743E61" w:rsidRDefault="002A385A" w:rsidP="002A38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Зерновые культуры</w:t>
      </w:r>
    </w:p>
    <w:p w:rsidR="002A385A" w:rsidRPr="00743E61" w:rsidRDefault="002A385A" w:rsidP="002A38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овощи</w:t>
      </w:r>
    </w:p>
    <w:p w:rsidR="002A385A" w:rsidRPr="00743E61" w:rsidRDefault="002A385A" w:rsidP="002A38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Селекция и семеноводство</w:t>
      </w:r>
    </w:p>
    <w:p w:rsidR="002A385A" w:rsidRPr="00743E61" w:rsidRDefault="002A385A" w:rsidP="002A38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Садоводство и виноградарство</w:t>
      </w:r>
    </w:p>
    <w:p w:rsidR="002A385A" w:rsidRPr="00743E61" w:rsidRDefault="002A385A" w:rsidP="002A38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 сельском хозяйстве</w:t>
      </w:r>
    </w:p>
    <w:p w:rsidR="002A385A" w:rsidRPr="00743E61" w:rsidRDefault="002A385A" w:rsidP="002A38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Хлебопродукты</w:t>
      </w:r>
    </w:p>
    <w:p w:rsidR="002A385A" w:rsidRPr="00743E61" w:rsidRDefault="002A385A" w:rsidP="002A38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Хлебопечение России</w:t>
      </w:r>
    </w:p>
    <w:p w:rsidR="002A385A" w:rsidRPr="00743E61" w:rsidRDefault="002A385A" w:rsidP="002A385A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–о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indows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</w:p>
    <w:p w:rsidR="002A385A" w:rsidRPr="00743E61" w:rsidRDefault="002A385A" w:rsidP="002A385A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2A385A" w:rsidRPr="00743E61" w:rsidRDefault="002A385A" w:rsidP="002A385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о всех видах лит., поступающей в фонд библиотеки Пермской ГСХА. – Электрон.дан. (175 551 записей). – Пермь: [б.и., 2005].Свидетельство о регистрации ЭР №20164 от 03.06.2014г. </w:t>
      </w:r>
    </w:p>
    <w:p w:rsidR="002A385A" w:rsidRPr="00743E61" w:rsidRDefault="002A385A" w:rsidP="002A385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webirbis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A385A" w:rsidRPr="00743E61" w:rsidRDefault="002A385A" w:rsidP="002A385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2A385A" w:rsidRPr="00743E61" w:rsidRDefault="002A385A" w:rsidP="002A385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>: электронный периодический справочник [Электронный ресурс]. – Электр.дан. (7162 Мб: 887 970  документов). – [Б.и., 199 -] (Договор №746 от 01 января 2014 г.);</w:t>
      </w:r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r w:rsidRPr="00743E61">
        <w:rPr>
          <w:rFonts w:ascii="Times New Roman" w:hAnsi="Times New Roman" w:cs="Times New Roman"/>
          <w:sz w:val="24"/>
          <w:szCs w:val="24"/>
        </w:rPr>
        <w:t>: справочно - поисковая система [Электронный ресурс]. –  Электр.дан. (64 231 7651 документов) – [Б.и., 199 -].(Договор №РДД 210/09 от 16 сентября 2009 г.);</w:t>
      </w:r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lanbook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–ЕД от 08 апреля 2014 г.);</w:t>
      </w:r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«Руконт»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ЕД  от 06 марта 2014 г.). </w:t>
      </w:r>
      <w:hyperlink r:id="rId10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rucont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A385A" w:rsidRPr="00743E61" w:rsidRDefault="002A385A" w:rsidP="002A3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</w:t>
      </w: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(Включает РИНЦ-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D26C4A" w:rsidRDefault="00D26C4A">
      <w:bookmarkStart w:id="0" w:name="_GoBack"/>
      <w:bookmarkEnd w:id="0"/>
    </w:p>
    <w:sectPr w:rsidR="00D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152"/>
    <w:multiLevelType w:val="hybridMultilevel"/>
    <w:tmpl w:val="B93E2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D14061"/>
    <w:multiLevelType w:val="hybridMultilevel"/>
    <w:tmpl w:val="1B168E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34467B6"/>
    <w:multiLevelType w:val="hybridMultilevel"/>
    <w:tmpl w:val="F7ECA0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06C69"/>
    <w:multiLevelType w:val="singleLevel"/>
    <w:tmpl w:val="722CA4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9C"/>
    <w:rsid w:val="002A385A"/>
    <w:rsid w:val="0033409C"/>
    <w:rsid w:val="00D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5A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5A"/>
    <w:pPr>
      <w:ind w:left="720"/>
      <w:contextualSpacing/>
    </w:pPr>
  </w:style>
  <w:style w:type="character" w:styleId="a4">
    <w:name w:val="Hyperlink"/>
    <w:rsid w:val="002A3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5A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5A"/>
    <w:pPr>
      <w:ind w:left="720"/>
      <w:contextualSpacing/>
    </w:pPr>
  </w:style>
  <w:style w:type="character" w:styleId="a4">
    <w:name w:val="Hyperlink"/>
    <w:rsid w:val="002A3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2015-02-06T03:31:00Z</dcterms:created>
  <dcterms:modified xsi:type="dcterms:W3CDTF">2015-02-06T03:31:00Z</dcterms:modified>
</cp:coreProperties>
</file>