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D5" w:rsidRPr="00D31028" w:rsidRDefault="00540F3E" w:rsidP="00755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028">
        <w:rPr>
          <w:rFonts w:ascii="Times New Roman" w:hAnsi="Times New Roman" w:cs="Times New Roman"/>
          <w:b/>
          <w:sz w:val="32"/>
          <w:szCs w:val="32"/>
        </w:rPr>
        <w:t>Электронно-библиотечные системы (</w:t>
      </w:r>
      <w:r w:rsidR="000A0485" w:rsidRPr="00D31028">
        <w:rPr>
          <w:rFonts w:ascii="Times New Roman" w:hAnsi="Times New Roman" w:cs="Times New Roman"/>
          <w:b/>
          <w:sz w:val="32"/>
          <w:szCs w:val="32"/>
        </w:rPr>
        <w:t>ЭБС</w:t>
      </w:r>
      <w:r w:rsidRPr="00D31028">
        <w:rPr>
          <w:rFonts w:ascii="Times New Roman" w:hAnsi="Times New Roman" w:cs="Times New Roman"/>
          <w:b/>
          <w:sz w:val="32"/>
          <w:szCs w:val="32"/>
        </w:rPr>
        <w:t>)</w:t>
      </w:r>
      <w:r w:rsidR="000A0485" w:rsidRPr="00D31028">
        <w:rPr>
          <w:rFonts w:ascii="Times New Roman" w:hAnsi="Times New Roman" w:cs="Times New Roman"/>
          <w:b/>
          <w:sz w:val="32"/>
          <w:szCs w:val="32"/>
        </w:rPr>
        <w:t xml:space="preserve"> как часть </w:t>
      </w:r>
      <w:r w:rsidR="00804C03" w:rsidRPr="00D31028">
        <w:rPr>
          <w:rFonts w:ascii="Times New Roman" w:hAnsi="Times New Roman" w:cs="Times New Roman"/>
          <w:b/>
          <w:sz w:val="32"/>
          <w:szCs w:val="32"/>
        </w:rPr>
        <w:t>информацио</w:t>
      </w:r>
      <w:r w:rsidR="00D01D89" w:rsidRPr="00D31028">
        <w:rPr>
          <w:rFonts w:ascii="Times New Roman" w:hAnsi="Times New Roman" w:cs="Times New Roman"/>
          <w:b/>
          <w:sz w:val="32"/>
          <w:szCs w:val="32"/>
        </w:rPr>
        <w:t>нно-</w:t>
      </w:r>
      <w:r w:rsidR="000A0485" w:rsidRPr="00D31028">
        <w:rPr>
          <w:rFonts w:ascii="Times New Roman" w:hAnsi="Times New Roman" w:cs="Times New Roman"/>
          <w:b/>
          <w:sz w:val="32"/>
          <w:szCs w:val="32"/>
        </w:rPr>
        <w:t>образовательной среды</w:t>
      </w:r>
      <w:r w:rsidR="00804C03" w:rsidRPr="00D31028">
        <w:rPr>
          <w:rFonts w:ascii="Times New Roman" w:hAnsi="Times New Roman" w:cs="Times New Roman"/>
          <w:b/>
          <w:sz w:val="32"/>
          <w:szCs w:val="32"/>
        </w:rPr>
        <w:t xml:space="preserve"> (ИОС)</w:t>
      </w:r>
    </w:p>
    <w:p w:rsidR="00EC5FFF" w:rsidRPr="00D31028" w:rsidRDefault="00EC5FFF" w:rsidP="00EC5FF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Стратегическое направление развития вузов сегодня – это формирование единой информационно-образовательной среды, в которую включаются и электронные ресурсы</w:t>
      </w:r>
      <w:r w:rsidR="00985E03" w:rsidRPr="00D31028">
        <w:rPr>
          <w:rFonts w:ascii="Times New Roman" w:hAnsi="Times New Roman" w:cs="Times New Roman"/>
          <w:sz w:val="32"/>
          <w:szCs w:val="32"/>
        </w:rPr>
        <w:t>, в частности ЭБС</w:t>
      </w:r>
      <w:r w:rsidRPr="00D31028">
        <w:rPr>
          <w:rFonts w:ascii="Times New Roman" w:hAnsi="Times New Roman" w:cs="Times New Roman"/>
          <w:sz w:val="32"/>
          <w:szCs w:val="32"/>
        </w:rPr>
        <w:t>.</w:t>
      </w:r>
      <w:r w:rsidR="00804C03" w:rsidRPr="00D31028">
        <w:rPr>
          <w:rFonts w:ascii="Times New Roman" w:hAnsi="Times New Roman" w:cs="Times New Roman"/>
          <w:sz w:val="32"/>
          <w:szCs w:val="32"/>
        </w:rPr>
        <w:t xml:space="preserve"> В целом ИОС представляет собой интегрированную систему. Функционирование такой системы обеспечивают информационно-телекоммуникационные технологии, которые служат ее организационно-технологической основой</w:t>
      </w:r>
      <w:r w:rsidR="00985E03" w:rsidRPr="00D31028">
        <w:rPr>
          <w:rFonts w:ascii="Times New Roman" w:hAnsi="Times New Roman" w:cs="Times New Roman"/>
          <w:sz w:val="32"/>
          <w:szCs w:val="32"/>
        </w:rPr>
        <w:t>,</w:t>
      </w:r>
      <w:r w:rsidR="00804C03" w:rsidRPr="00D31028">
        <w:rPr>
          <w:rFonts w:ascii="Times New Roman" w:hAnsi="Times New Roman" w:cs="Times New Roman"/>
          <w:sz w:val="32"/>
          <w:szCs w:val="32"/>
        </w:rPr>
        <w:t xml:space="preserve"> и создают возможности для интерактивного взаимодействия субъектов образовательного процесса и использования информационно-образоват</w:t>
      </w:r>
      <w:r w:rsidR="000430F9" w:rsidRPr="00D31028">
        <w:rPr>
          <w:rFonts w:ascii="Times New Roman" w:hAnsi="Times New Roman" w:cs="Times New Roman"/>
          <w:sz w:val="32"/>
          <w:szCs w:val="32"/>
        </w:rPr>
        <w:t xml:space="preserve">ельных ресурсов. </w:t>
      </w:r>
    </w:p>
    <w:p w:rsidR="00EA0F44" w:rsidRPr="00D31028" w:rsidRDefault="00EA0F44" w:rsidP="00540F3E">
      <w:p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Федеральный закон № 273-ФЗ «Об образовании в Рос</w:t>
      </w:r>
      <w:r w:rsidR="00C75835" w:rsidRPr="00D31028">
        <w:rPr>
          <w:rFonts w:ascii="Times New Roman" w:hAnsi="Times New Roman" w:cs="Times New Roman"/>
          <w:sz w:val="32"/>
          <w:szCs w:val="32"/>
        </w:rPr>
        <w:t>сийской Федерации» (статья 18)</w:t>
      </w:r>
    </w:p>
    <w:p w:rsidR="00C75835" w:rsidRPr="00D31028" w:rsidRDefault="00C75835" w:rsidP="0054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В организациях, осуществляющих образовательную деятельность, в целях обеспеч</w:t>
      </w:r>
      <w:r w:rsidR="00540F3E" w:rsidRPr="00D31028">
        <w:rPr>
          <w:rFonts w:ascii="Times New Roman" w:hAnsi="Times New Roman" w:cs="Times New Roman"/>
          <w:sz w:val="32"/>
          <w:szCs w:val="32"/>
        </w:rPr>
        <w:t xml:space="preserve">ения реализации образовательных </w:t>
      </w:r>
      <w:r w:rsidRPr="00D31028">
        <w:rPr>
          <w:rFonts w:ascii="Times New Roman" w:hAnsi="Times New Roman" w:cs="Times New Roman"/>
          <w:sz w:val="32"/>
          <w:szCs w:val="32"/>
        </w:rPr>
        <w:t>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C75835" w:rsidRPr="00D31028" w:rsidRDefault="00292C4C" w:rsidP="0054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стандартами.</w:t>
      </w:r>
    </w:p>
    <w:p w:rsidR="00292C4C" w:rsidRPr="00D31028" w:rsidRDefault="00292C4C" w:rsidP="00540F3E">
      <w:pPr>
        <w:pStyle w:val="a3"/>
        <w:ind w:left="810" w:firstLine="606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lastRenderedPageBreak/>
        <w:t xml:space="preserve">Во </w:t>
      </w:r>
      <w:proofErr w:type="spellStart"/>
      <w:r w:rsidRPr="00D31028">
        <w:rPr>
          <w:rFonts w:ascii="Times New Roman" w:hAnsi="Times New Roman" w:cs="Times New Roman"/>
          <w:sz w:val="32"/>
          <w:szCs w:val="32"/>
        </w:rPr>
        <w:t>ФГОСах</w:t>
      </w:r>
      <w:proofErr w:type="spellEnd"/>
      <w:r w:rsidRPr="00D31028">
        <w:rPr>
          <w:rFonts w:ascii="Times New Roman" w:hAnsi="Times New Roman" w:cs="Times New Roman"/>
          <w:sz w:val="32"/>
          <w:szCs w:val="32"/>
        </w:rPr>
        <w:t xml:space="preserve"> 3+</w:t>
      </w:r>
      <w:r w:rsidR="007B20B9" w:rsidRPr="00D31028">
        <w:rPr>
          <w:rFonts w:ascii="Times New Roman" w:hAnsi="Times New Roman" w:cs="Times New Roman"/>
          <w:sz w:val="32"/>
          <w:szCs w:val="32"/>
        </w:rPr>
        <w:t xml:space="preserve"> прописано, что в</w:t>
      </w:r>
      <w:r w:rsidRPr="00D31028">
        <w:rPr>
          <w:rFonts w:ascii="Times New Roman" w:hAnsi="Times New Roman" w:cs="Times New Roman"/>
          <w:sz w:val="32"/>
          <w:szCs w:val="32"/>
        </w:rPr>
        <w:t xml:space="preserve"> случае неиспользования в организации электронно-библиотечных систем</w:t>
      </w:r>
      <w:r w:rsidR="000A0485" w:rsidRPr="00D31028">
        <w:rPr>
          <w:rFonts w:ascii="Times New Roman" w:hAnsi="Times New Roman" w:cs="Times New Roman"/>
          <w:sz w:val="32"/>
          <w:szCs w:val="32"/>
        </w:rPr>
        <w:t>ы (электронной библиотеки)</w:t>
      </w:r>
      <w:r w:rsidRPr="00D31028">
        <w:rPr>
          <w:rFonts w:ascii="Times New Roman" w:hAnsi="Times New Roman" w:cs="Times New Roman"/>
          <w:sz w:val="32"/>
          <w:szCs w:val="32"/>
        </w:rPr>
        <w:t xml:space="preserve"> библиоте</w:t>
      </w:r>
      <w:r w:rsidR="000A0485" w:rsidRPr="00D31028">
        <w:rPr>
          <w:rFonts w:ascii="Times New Roman" w:hAnsi="Times New Roman" w:cs="Times New Roman"/>
          <w:sz w:val="32"/>
          <w:szCs w:val="32"/>
        </w:rPr>
        <w:t xml:space="preserve">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модулей (практик), и не менее 25 экземпляров дополнительной литературы на 100 обучающихся. </w:t>
      </w:r>
    </w:p>
    <w:p w:rsidR="000A0485" w:rsidRPr="00D31028" w:rsidRDefault="000A0485" w:rsidP="00540F3E">
      <w:pPr>
        <w:pStyle w:val="a3"/>
        <w:ind w:left="810" w:firstLine="606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Э</w:t>
      </w:r>
      <w:r w:rsidR="00540F3E" w:rsidRPr="00D31028">
        <w:rPr>
          <w:rFonts w:ascii="Times New Roman" w:hAnsi="Times New Roman" w:cs="Times New Roman"/>
          <w:sz w:val="32"/>
          <w:szCs w:val="32"/>
        </w:rPr>
        <w:t xml:space="preserve">лектронно-библиотечные системы </w:t>
      </w:r>
      <w:r w:rsidRPr="00D31028">
        <w:rPr>
          <w:rFonts w:ascii="Times New Roman" w:hAnsi="Times New Roman" w:cs="Times New Roman"/>
          <w:sz w:val="32"/>
          <w:szCs w:val="32"/>
        </w:rPr>
        <w:t xml:space="preserve">и электронно-образовательная среда должны обеспечивать одновременный доступ не менее 25% </w:t>
      </w:r>
      <w:proofErr w:type="gramStart"/>
      <w:r w:rsidRPr="00D3102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31028">
        <w:rPr>
          <w:rFonts w:ascii="Times New Roman" w:hAnsi="Times New Roman" w:cs="Times New Roman"/>
          <w:sz w:val="32"/>
          <w:szCs w:val="32"/>
        </w:rPr>
        <w:t>.</w:t>
      </w:r>
    </w:p>
    <w:p w:rsidR="00B16280" w:rsidRPr="00D31028" w:rsidRDefault="00B16280" w:rsidP="00540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31028">
        <w:rPr>
          <w:rFonts w:ascii="Times New Roman" w:hAnsi="Times New Roman" w:cs="Times New Roman"/>
          <w:sz w:val="32"/>
          <w:szCs w:val="32"/>
        </w:rPr>
        <w:t xml:space="preserve"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 </w:t>
      </w:r>
      <w:proofErr w:type="gramEnd"/>
    </w:p>
    <w:p w:rsidR="007B20B9" w:rsidRPr="00D31028" w:rsidRDefault="007B20B9" w:rsidP="000132BB">
      <w:pPr>
        <w:spacing w:after="0"/>
        <w:ind w:firstLine="45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Новые разработки </w:t>
      </w:r>
      <w:r w:rsidR="009C0D22" w:rsidRPr="00D31028">
        <w:rPr>
          <w:rFonts w:ascii="Times New Roman" w:hAnsi="Times New Roman" w:cs="Times New Roman"/>
          <w:sz w:val="32"/>
          <w:szCs w:val="32"/>
        </w:rPr>
        <w:t>позволяю</w:t>
      </w:r>
      <w:r w:rsidR="00995953" w:rsidRPr="00D31028">
        <w:rPr>
          <w:rFonts w:ascii="Times New Roman" w:hAnsi="Times New Roman" w:cs="Times New Roman"/>
          <w:sz w:val="32"/>
          <w:szCs w:val="32"/>
        </w:rPr>
        <w:t>т</w:t>
      </w:r>
      <w:r w:rsidRPr="00D31028">
        <w:rPr>
          <w:rFonts w:ascii="Times New Roman" w:hAnsi="Times New Roman" w:cs="Times New Roman"/>
          <w:sz w:val="32"/>
          <w:szCs w:val="32"/>
        </w:rPr>
        <w:t xml:space="preserve"> производителя</w:t>
      </w:r>
      <w:r w:rsidR="007A76EB" w:rsidRPr="00D31028">
        <w:rPr>
          <w:rFonts w:ascii="Times New Roman" w:hAnsi="Times New Roman" w:cs="Times New Roman"/>
          <w:sz w:val="32"/>
          <w:szCs w:val="32"/>
        </w:rPr>
        <w:t>м</w:t>
      </w:r>
      <w:r w:rsidRPr="00D31028">
        <w:rPr>
          <w:rFonts w:ascii="Times New Roman" w:hAnsi="Times New Roman" w:cs="Times New Roman"/>
          <w:sz w:val="32"/>
          <w:szCs w:val="32"/>
        </w:rPr>
        <w:t xml:space="preserve"> ЭБС</w:t>
      </w:r>
      <w:r w:rsidR="00995953" w:rsidRPr="00D31028">
        <w:rPr>
          <w:rFonts w:ascii="Times New Roman" w:hAnsi="Times New Roman" w:cs="Times New Roman"/>
          <w:sz w:val="32"/>
          <w:szCs w:val="32"/>
        </w:rPr>
        <w:t xml:space="preserve"> внедрять в повседневную практику методы инклюзивного образования, обеспечивая тем самым возможность получения образования и информации людям, имеющим проблемы со зрением или полной его потерей. </w:t>
      </w:r>
      <w:r w:rsidR="00985E03" w:rsidRPr="00D31028">
        <w:rPr>
          <w:rFonts w:ascii="Times New Roman" w:hAnsi="Times New Roman" w:cs="Times New Roman"/>
          <w:sz w:val="32"/>
          <w:szCs w:val="32"/>
        </w:rPr>
        <w:t>Существуют специальные мобильные приложения</w:t>
      </w:r>
      <w:r w:rsidR="000132BB" w:rsidRPr="00D31028">
        <w:rPr>
          <w:rFonts w:ascii="Times New Roman" w:hAnsi="Times New Roman" w:cs="Times New Roman"/>
          <w:sz w:val="32"/>
          <w:szCs w:val="32"/>
        </w:rPr>
        <w:t>.</w:t>
      </w:r>
    </w:p>
    <w:p w:rsidR="00B46A3B" w:rsidRPr="00D31028" w:rsidRDefault="000132BB" w:rsidP="000132BB">
      <w:pPr>
        <w:spacing w:after="0"/>
        <w:ind w:firstLine="45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В 2010 году впервые</w:t>
      </w:r>
      <w:r w:rsidR="00B16280" w:rsidRPr="00D31028">
        <w:rPr>
          <w:rFonts w:ascii="Times New Roman" w:hAnsi="Times New Roman" w:cs="Times New Roman"/>
          <w:sz w:val="32"/>
          <w:szCs w:val="32"/>
        </w:rPr>
        <w:t xml:space="preserve"> </w:t>
      </w:r>
      <w:r w:rsidRPr="00D31028">
        <w:rPr>
          <w:rFonts w:ascii="Times New Roman" w:hAnsi="Times New Roman" w:cs="Times New Roman"/>
          <w:sz w:val="32"/>
          <w:szCs w:val="32"/>
        </w:rPr>
        <w:t xml:space="preserve">библиотекой академии </w:t>
      </w:r>
      <w:r w:rsidR="00B16280" w:rsidRPr="00D31028">
        <w:rPr>
          <w:rFonts w:ascii="Times New Roman" w:hAnsi="Times New Roman" w:cs="Times New Roman"/>
          <w:sz w:val="32"/>
          <w:szCs w:val="32"/>
        </w:rPr>
        <w:t xml:space="preserve">была закуплена ЭБС  издательства «Лань» пакет </w:t>
      </w:r>
      <w:r w:rsidR="00B46A3B" w:rsidRPr="00D31028">
        <w:rPr>
          <w:rFonts w:ascii="Times New Roman" w:hAnsi="Times New Roman" w:cs="Times New Roman"/>
          <w:sz w:val="32"/>
          <w:szCs w:val="32"/>
        </w:rPr>
        <w:t>«Ветеринария и сельское хозяйство», состоящая из 53 источников.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6"/>
        <w:gridCol w:w="5363"/>
        <w:gridCol w:w="3022"/>
      </w:tblGrid>
      <w:tr w:rsidR="00B46A3B" w:rsidRPr="00D31028" w:rsidTr="000132BB">
        <w:tc>
          <w:tcPr>
            <w:tcW w:w="1242" w:type="dxa"/>
          </w:tcPr>
          <w:p w:rsidR="00B46A3B" w:rsidRPr="00D31028" w:rsidRDefault="000132BB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 w:rsidR="00B46A3B" w:rsidRPr="00D31028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</w:p>
        </w:tc>
        <w:tc>
          <w:tcPr>
            <w:tcW w:w="5529" w:type="dxa"/>
          </w:tcPr>
          <w:p w:rsidR="00B46A3B" w:rsidRPr="00D31028" w:rsidRDefault="00B46A3B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Названия пакетов</w:t>
            </w:r>
          </w:p>
        </w:tc>
        <w:tc>
          <w:tcPr>
            <w:tcW w:w="2800" w:type="dxa"/>
          </w:tcPr>
          <w:p w:rsidR="00B46A3B" w:rsidRPr="00D31028" w:rsidRDefault="00B46A3B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Производитель</w:t>
            </w:r>
          </w:p>
        </w:tc>
      </w:tr>
      <w:tr w:rsidR="00B46A3B" w:rsidRPr="00D31028" w:rsidTr="000132BB">
        <w:tc>
          <w:tcPr>
            <w:tcW w:w="1242" w:type="dxa"/>
          </w:tcPr>
          <w:p w:rsidR="00B46A3B" w:rsidRPr="00D31028" w:rsidRDefault="00B46A3B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5529" w:type="dxa"/>
          </w:tcPr>
          <w:p w:rsidR="00B46A3B" w:rsidRPr="00D31028" w:rsidRDefault="00B46A3B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</w:tc>
        <w:tc>
          <w:tcPr>
            <w:tcW w:w="2800" w:type="dxa"/>
          </w:tcPr>
          <w:p w:rsidR="00B46A3B" w:rsidRPr="00D31028" w:rsidRDefault="00B46A3B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</w:tc>
      </w:tr>
      <w:tr w:rsidR="00B46A3B" w:rsidRPr="00D31028" w:rsidTr="000132BB">
        <w:tc>
          <w:tcPr>
            <w:tcW w:w="1242" w:type="dxa"/>
          </w:tcPr>
          <w:p w:rsidR="00B46A3B" w:rsidRPr="00D31028" w:rsidRDefault="00B46A3B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5529" w:type="dxa"/>
          </w:tcPr>
          <w:p w:rsidR="00B46A3B" w:rsidRPr="00D31028" w:rsidRDefault="00B46A3B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  <w:p w:rsidR="00B46A3B" w:rsidRPr="00D31028" w:rsidRDefault="00B46A3B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Лесное хозяйство и лесоинженерное дело</w:t>
            </w:r>
          </w:p>
        </w:tc>
        <w:tc>
          <w:tcPr>
            <w:tcW w:w="2800" w:type="dxa"/>
          </w:tcPr>
          <w:p w:rsidR="00B46A3B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</w:tc>
      </w:tr>
      <w:tr w:rsidR="00B46A3B" w:rsidRPr="00D31028" w:rsidTr="000132BB">
        <w:tc>
          <w:tcPr>
            <w:tcW w:w="1242" w:type="dxa"/>
          </w:tcPr>
          <w:p w:rsidR="00B46A3B" w:rsidRPr="00D31028" w:rsidRDefault="00B46A3B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5529" w:type="dxa"/>
          </w:tcPr>
          <w:p w:rsidR="00B46A3B" w:rsidRPr="00D31028" w:rsidRDefault="00B46A3B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  <w:p w:rsidR="00B46A3B" w:rsidRPr="00D31028" w:rsidRDefault="00B46A3B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Лесное хозяйство и лесоинженерное дело</w:t>
            </w:r>
          </w:p>
          <w:p w:rsidR="00B46A3B" w:rsidRPr="00D31028" w:rsidRDefault="00B46A3B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 xml:space="preserve">Экономика и менеджмент </w:t>
            </w:r>
          </w:p>
        </w:tc>
        <w:tc>
          <w:tcPr>
            <w:tcW w:w="2800" w:type="dxa"/>
          </w:tcPr>
          <w:p w:rsidR="00B46A3B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</w:tc>
      </w:tr>
      <w:tr w:rsidR="00D21CF3" w:rsidRPr="00D31028" w:rsidTr="000132BB">
        <w:trPr>
          <w:trHeight w:val="630"/>
        </w:trPr>
        <w:tc>
          <w:tcPr>
            <w:tcW w:w="1242" w:type="dxa"/>
            <w:vMerge w:val="restart"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2013</w:t>
            </w:r>
          </w:p>
        </w:tc>
        <w:tc>
          <w:tcPr>
            <w:tcW w:w="5529" w:type="dxa"/>
          </w:tcPr>
          <w:p w:rsidR="00D21CF3" w:rsidRPr="00D31028" w:rsidRDefault="00D21CF3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Национальный цифровой ресурс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Руконт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00" w:type="dxa"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Бибком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1CF3" w:rsidRPr="00D31028" w:rsidTr="000132BB">
        <w:trPr>
          <w:trHeight w:val="1005"/>
        </w:trPr>
        <w:tc>
          <w:tcPr>
            <w:tcW w:w="1242" w:type="dxa"/>
            <w:vMerge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D21CF3" w:rsidRPr="00D31028" w:rsidRDefault="00D21CF3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  <w:p w:rsidR="00D21CF3" w:rsidRPr="00D31028" w:rsidRDefault="00D21CF3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Лесное хозяйство и лесоинженерное дело</w:t>
            </w:r>
          </w:p>
          <w:p w:rsidR="00D21CF3" w:rsidRPr="00D31028" w:rsidRDefault="00D21CF3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Экономика и менеджмент</w:t>
            </w:r>
          </w:p>
        </w:tc>
        <w:tc>
          <w:tcPr>
            <w:tcW w:w="2800" w:type="dxa"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1CF3" w:rsidRPr="00D31028" w:rsidTr="000132BB">
        <w:trPr>
          <w:trHeight w:val="600"/>
        </w:trPr>
        <w:tc>
          <w:tcPr>
            <w:tcW w:w="1242" w:type="dxa"/>
            <w:vMerge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D21CF3" w:rsidRPr="00D31028" w:rsidRDefault="00D21CF3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Агропром за рубежом</w:t>
            </w:r>
          </w:p>
        </w:tc>
        <w:tc>
          <w:tcPr>
            <w:tcW w:w="2800" w:type="dxa"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«ПОЛПРЕД Справочники»</w:t>
            </w:r>
          </w:p>
        </w:tc>
      </w:tr>
      <w:tr w:rsidR="00D21CF3" w:rsidRPr="00D31028" w:rsidTr="000132BB">
        <w:trPr>
          <w:trHeight w:val="600"/>
        </w:trPr>
        <w:tc>
          <w:tcPr>
            <w:tcW w:w="1242" w:type="dxa"/>
            <w:vMerge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D21CF3" w:rsidRPr="00D31028" w:rsidRDefault="00D21CF3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Сельскохозяйственная</w:t>
            </w:r>
            <w:proofErr w:type="gram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 xml:space="preserve">  библиотека знаний</w:t>
            </w:r>
          </w:p>
        </w:tc>
        <w:tc>
          <w:tcPr>
            <w:tcW w:w="2800" w:type="dxa"/>
          </w:tcPr>
          <w:p w:rsidR="00D21CF3" w:rsidRPr="00D31028" w:rsidRDefault="00D21CF3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 xml:space="preserve">ГНУ ЦНСХБ 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Россельхозакадемии</w:t>
            </w:r>
            <w:proofErr w:type="spellEnd"/>
          </w:p>
        </w:tc>
      </w:tr>
      <w:tr w:rsidR="00952EB8" w:rsidRPr="00D31028" w:rsidTr="000132BB">
        <w:trPr>
          <w:trHeight w:val="600"/>
        </w:trPr>
        <w:tc>
          <w:tcPr>
            <w:tcW w:w="1242" w:type="dxa"/>
            <w:vMerge w:val="restart"/>
          </w:tcPr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5529" w:type="dxa"/>
          </w:tcPr>
          <w:p w:rsidR="00952EB8" w:rsidRPr="00D31028" w:rsidRDefault="00952EB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  <w:p w:rsidR="00952EB8" w:rsidRPr="00D31028" w:rsidRDefault="00952EB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Лесное хозяйство и лесоинженерное дело</w:t>
            </w:r>
          </w:p>
          <w:p w:rsidR="00952EB8" w:rsidRPr="00D31028" w:rsidRDefault="00952EB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Инженерно-технические науки</w:t>
            </w:r>
          </w:p>
          <w:p w:rsidR="00952EB8" w:rsidRPr="00D31028" w:rsidRDefault="00952EB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Технологии пищевых производств (издательство ГИОРД)</w:t>
            </w:r>
          </w:p>
        </w:tc>
        <w:tc>
          <w:tcPr>
            <w:tcW w:w="2800" w:type="dxa"/>
          </w:tcPr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2EB8" w:rsidRPr="00D31028" w:rsidTr="000132BB">
        <w:trPr>
          <w:trHeight w:val="600"/>
        </w:trPr>
        <w:tc>
          <w:tcPr>
            <w:tcW w:w="1242" w:type="dxa"/>
            <w:vMerge/>
          </w:tcPr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952EB8" w:rsidRPr="00D31028" w:rsidRDefault="00952EB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86 документов по экономическим наукам</w:t>
            </w:r>
          </w:p>
        </w:tc>
        <w:tc>
          <w:tcPr>
            <w:tcW w:w="2800" w:type="dxa"/>
          </w:tcPr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ЭБС «ЮРАЙТ»</w:t>
            </w:r>
          </w:p>
        </w:tc>
      </w:tr>
      <w:tr w:rsidR="00952EB8" w:rsidRPr="00D31028" w:rsidTr="000132BB">
        <w:trPr>
          <w:trHeight w:val="600"/>
        </w:trPr>
        <w:tc>
          <w:tcPr>
            <w:tcW w:w="1242" w:type="dxa"/>
            <w:vMerge/>
          </w:tcPr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952EB8" w:rsidRPr="00D31028" w:rsidRDefault="00952EB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Национальный цифровой ресурс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Руконт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00" w:type="dxa"/>
          </w:tcPr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Бибком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52EB8" w:rsidRPr="00D31028" w:rsidRDefault="00952EB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096" w:rsidRPr="00D31028" w:rsidTr="000132BB">
        <w:trPr>
          <w:trHeight w:val="600"/>
        </w:trPr>
        <w:tc>
          <w:tcPr>
            <w:tcW w:w="1242" w:type="dxa"/>
            <w:vMerge w:val="restart"/>
          </w:tcPr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5529" w:type="dxa"/>
          </w:tcPr>
          <w:p w:rsidR="00BA2096" w:rsidRPr="00D31028" w:rsidRDefault="00BA2096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  <w:p w:rsidR="00BA2096" w:rsidRPr="00D31028" w:rsidRDefault="00BA2096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Лесное хозяйство и лесоинженерное дело</w:t>
            </w:r>
          </w:p>
          <w:p w:rsidR="00BA2096" w:rsidRPr="00D31028" w:rsidRDefault="00BA2096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Инженерно-технические науки</w:t>
            </w:r>
          </w:p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096" w:rsidRPr="00D31028" w:rsidTr="000132BB">
        <w:trPr>
          <w:trHeight w:val="600"/>
        </w:trPr>
        <w:tc>
          <w:tcPr>
            <w:tcW w:w="1242" w:type="dxa"/>
            <w:vMerge/>
          </w:tcPr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BA2096" w:rsidRPr="00D31028" w:rsidRDefault="00BA2096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77 документов по экономическим наукам</w:t>
            </w:r>
          </w:p>
        </w:tc>
        <w:tc>
          <w:tcPr>
            <w:tcW w:w="2800" w:type="dxa"/>
          </w:tcPr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ЭБС «ЮРАЙТ»</w:t>
            </w:r>
          </w:p>
        </w:tc>
      </w:tr>
      <w:tr w:rsidR="00BA2096" w:rsidRPr="00D31028" w:rsidTr="000132BB">
        <w:trPr>
          <w:trHeight w:val="600"/>
        </w:trPr>
        <w:tc>
          <w:tcPr>
            <w:tcW w:w="1242" w:type="dxa"/>
            <w:vMerge/>
          </w:tcPr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BA2096" w:rsidRPr="00D31028" w:rsidRDefault="00BA2096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Национальный цифровой ресурс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Руконт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00" w:type="dxa"/>
          </w:tcPr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Бибком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A2096" w:rsidRPr="00D31028" w:rsidRDefault="00BA2096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9B4" w:rsidRPr="00D31028" w:rsidTr="000132BB">
        <w:trPr>
          <w:trHeight w:val="600"/>
        </w:trPr>
        <w:tc>
          <w:tcPr>
            <w:tcW w:w="1242" w:type="dxa"/>
            <w:vMerge w:val="restart"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5529" w:type="dxa"/>
          </w:tcPr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266 документов по экономическим наукам</w:t>
            </w:r>
          </w:p>
        </w:tc>
        <w:tc>
          <w:tcPr>
            <w:tcW w:w="2800" w:type="dxa"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ЭБС «ЮРАЙТ»</w:t>
            </w:r>
          </w:p>
        </w:tc>
      </w:tr>
      <w:tr w:rsidR="000119B4" w:rsidRPr="00D31028" w:rsidTr="000132BB">
        <w:trPr>
          <w:trHeight w:val="600"/>
        </w:trPr>
        <w:tc>
          <w:tcPr>
            <w:tcW w:w="1242" w:type="dxa"/>
            <w:vMerge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Национальный цифровой ресурс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Руконт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00" w:type="dxa"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Бибком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9B4" w:rsidRPr="00D31028" w:rsidTr="000132BB">
        <w:trPr>
          <w:trHeight w:val="600"/>
        </w:trPr>
        <w:tc>
          <w:tcPr>
            <w:tcW w:w="1242" w:type="dxa"/>
            <w:vMerge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Лесное хозяйство и лесоинженерное дело</w:t>
            </w:r>
          </w:p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Инженерно-технические науки</w:t>
            </w:r>
          </w:p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Технологии пищевых производств</w:t>
            </w:r>
          </w:p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19B4" w:rsidRPr="00D31028" w:rsidTr="000132BB">
        <w:trPr>
          <w:trHeight w:val="600"/>
        </w:trPr>
        <w:tc>
          <w:tcPr>
            <w:tcW w:w="1242" w:type="dxa"/>
            <w:vMerge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0119B4" w:rsidRPr="00D31028" w:rsidRDefault="000119B4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Доступ к 28 полнотекстовым журналам по экономическим наукам</w:t>
            </w:r>
          </w:p>
        </w:tc>
        <w:tc>
          <w:tcPr>
            <w:tcW w:w="2800" w:type="dxa"/>
          </w:tcPr>
          <w:p w:rsidR="000119B4" w:rsidRPr="00D31028" w:rsidRDefault="000119B4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 «ИД «Гребенников»</w:t>
            </w:r>
          </w:p>
        </w:tc>
      </w:tr>
      <w:tr w:rsidR="002A1A28" w:rsidRPr="00D31028" w:rsidTr="000132BB">
        <w:trPr>
          <w:trHeight w:val="600"/>
        </w:trPr>
        <w:tc>
          <w:tcPr>
            <w:tcW w:w="1242" w:type="dxa"/>
            <w:vMerge w:val="restart"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5529" w:type="dxa"/>
          </w:tcPr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Ветеринария и сельское хозяйство</w:t>
            </w:r>
          </w:p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Лесное хозяйство и лесоинженерное дело</w:t>
            </w:r>
          </w:p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Инженерно-технические науки</w:t>
            </w:r>
          </w:p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Технологии пищевых производств</w:t>
            </w:r>
          </w:p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издательство «Лань»</w:t>
            </w:r>
          </w:p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A28" w:rsidRPr="00D31028" w:rsidTr="000132BB">
        <w:trPr>
          <w:trHeight w:val="600"/>
        </w:trPr>
        <w:tc>
          <w:tcPr>
            <w:tcW w:w="1242" w:type="dxa"/>
            <w:vMerge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Вся коллекция</w:t>
            </w:r>
          </w:p>
        </w:tc>
        <w:tc>
          <w:tcPr>
            <w:tcW w:w="2800" w:type="dxa"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ЭБС «ЮРАЙТ»</w:t>
            </w:r>
          </w:p>
        </w:tc>
      </w:tr>
      <w:tr w:rsidR="002A1A28" w:rsidRPr="00D31028" w:rsidTr="000132BB">
        <w:trPr>
          <w:trHeight w:val="600"/>
        </w:trPr>
        <w:tc>
          <w:tcPr>
            <w:tcW w:w="1242" w:type="dxa"/>
            <w:vMerge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Доступ к 28 полнотекстовым журналам по экономическим наукам</w:t>
            </w:r>
          </w:p>
        </w:tc>
        <w:tc>
          <w:tcPr>
            <w:tcW w:w="2800" w:type="dxa"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 «ИД «Гребенников»</w:t>
            </w:r>
          </w:p>
        </w:tc>
      </w:tr>
      <w:tr w:rsidR="002A1A28" w:rsidRPr="00D31028" w:rsidTr="000132BB">
        <w:trPr>
          <w:trHeight w:val="600"/>
        </w:trPr>
        <w:tc>
          <w:tcPr>
            <w:tcW w:w="1242" w:type="dxa"/>
            <w:vMerge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Агропром за рубежом</w:t>
            </w:r>
          </w:p>
        </w:tc>
        <w:tc>
          <w:tcPr>
            <w:tcW w:w="2800" w:type="dxa"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«ПОЛПРЕД Справочники»</w:t>
            </w:r>
          </w:p>
        </w:tc>
      </w:tr>
      <w:tr w:rsidR="002A1A28" w:rsidRPr="00D31028" w:rsidTr="000132BB">
        <w:trPr>
          <w:trHeight w:val="600"/>
        </w:trPr>
        <w:tc>
          <w:tcPr>
            <w:tcW w:w="1242" w:type="dxa"/>
            <w:vMerge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Геодезия и землеустройство</w:t>
            </w:r>
          </w:p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Информатика и вычислительная техника</w:t>
            </w:r>
          </w:p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Технические науки</w:t>
            </w:r>
          </w:p>
        </w:tc>
        <w:tc>
          <w:tcPr>
            <w:tcW w:w="2800" w:type="dxa"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ООО «Ай Пи Эр Медиа»</w:t>
            </w:r>
          </w:p>
        </w:tc>
      </w:tr>
      <w:tr w:rsidR="002A1A28" w:rsidRPr="00D31028" w:rsidTr="000132BB">
        <w:trPr>
          <w:trHeight w:val="600"/>
        </w:trPr>
        <w:tc>
          <w:tcPr>
            <w:tcW w:w="1242" w:type="dxa"/>
            <w:vMerge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9" w:type="dxa"/>
          </w:tcPr>
          <w:p w:rsidR="002A1A28" w:rsidRPr="00D31028" w:rsidRDefault="002A1A28" w:rsidP="004E70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Национальный цифровой ресурс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Руконт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00" w:type="dxa"/>
          </w:tcPr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ОАО «</w:t>
            </w:r>
            <w:proofErr w:type="spellStart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Бибком</w:t>
            </w:r>
            <w:proofErr w:type="spellEnd"/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A1A28" w:rsidRPr="00D31028" w:rsidRDefault="002A1A28" w:rsidP="00540F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703B" w:rsidRPr="00D31028" w:rsidRDefault="00B46A3B" w:rsidP="00540F3E">
      <w:p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703B" w:rsidRPr="00D31028" w:rsidRDefault="00E27638" w:rsidP="00540F3E">
      <w:p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Гарант</w:t>
      </w:r>
    </w:p>
    <w:p w:rsidR="00E27638" w:rsidRPr="00D31028" w:rsidRDefault="00E27638" w:rsidP="00540F3E">
      <w:p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1028">
        <w:rPr>
          <w:rFonts w:ascii="Times New Roman" w:hAnsi="Times New Roman" w:cs="Times New Roman"/>
          <w:sz w:val="32"/>
          <w:szCs w:val="32"/>
        </w:rPr>
        <w:t>Консультант</w:t>
      </w:r>
      <w:r w:rsidR="004E703B" w:rsidRPr="00D31028">
        <w:rPr>
          <w:rFonts w:ascii="Times New Roman" w:hAnsi="Times New Roman" w:cs="Times New Roman"/>
          <w:sz w:val="32"/>
          <w:szCs w:val="32"/>
        </w:rPr>
        <w:t>Плюс</w:t>
      </w:r>
      <w:proofErr w:type="spellEnd"/>
    </w:p>
    <w:p w:rsidR="00F327BF" w:rsidRPr="00D31028" w:rsidRDefault="00F327BF" w:rsidP="004E7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lastRenderedPageBreak/>
        <w:t>Финансовые затраты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34"/>
        <w:gridCol w:w="1134"/>
        <w:gridCol w:w="1134"/>
        <w:gridCol w:w="1134"/>
        <w:gridCol w:w="1275"/>
        <w:gridCol w:w="1134"/>
      </w:tblGrid>
      <w:tr w:rsidR="00E97244" w:rsidRPr="00D31028" w:rsidTr="004E703B">
        <w:tc>
          <w:tcPr>
            <w:tcW w:w="817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Показатель </w:t>
            </w:r>
          </w:p>
        </w:tc>
        <w:tc>
          <w:tcPr>
            <w:tcW w:w="992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993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275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134" w:type="dxa"/>
          </w:tcPr>
          <w:p w:rsidR="00F327BF" w:rsidRPr="00D31028" w:rsidRDefault="009C0D22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За 8</w:t>
            </w:r>
            <w:r w:rsidR="00F327BF" w:rsidRPr="00D31028">
              <w:rPr>
                <w:rFonts w:ascii="Times New Roman" w:hAnsi="Times New Roman" w:cs="Times New Roman"/>
                <w:sz w:val="32"/>
                <w:szCs w:val="32"/>
              </w:rPr>
              <w:t xml:space="preserve"> мес. 2017</w:t>
            </w:r>
          </w:p>
        </w:tc>
      </w:tr>
      <w:tr w:rsidR="007268E0" w:rsidRPr="00D31028" w:rsidTr="004E703B">
        <w:tc>
          <w:tcPr>
            <w:tcW w:w="817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Электронные ресурсы</w:t>
            </w:r>
          </w:p>
        </w:tc>
        <w:tc>
          <w:tcPr>
            <w:tcW w:w="992" w:type="dxa"/>
          </w:tcPr>
          <w:p w:rsidR="00F327BF" w:rsidRPr="00D31028" w:rsidRDefault="00E97244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47 393,00</w:t>
            </w:r>
          </w:p>
        </w:tc>
        <w:tc>
          <w:tcPr>
            <w:tcW w:w="993" w:type="dxa"/>
          </w:tcPr>
          <w:p w:rsidR="00F327BF" w:rsidRPr="00D31028" w:rsidRDefault="00E97244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137305,50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230553,40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180 735,00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607 000,00</w:t>
            </w:r>
          </w:p>
        </w:tc>
        <w:tc>
          <w:tcPr>
            <w:tcW w:w="1134" w:type="dxa"/>
          </w:tcPr>
          <w:p w:rsidR="00F327BF" w:rsidRPr="00D31028" w:rsidRDefault="00F327BF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700 073,00</w:t>
            </w:r>
          </w:p>
        </w:tc>
        <w:tc>
          <w:tcPr>
            <w:tcW w:w="1275" w:type="dxa"/>
          </w:tcPr>
          <w:p w:rsidR="00F327BF" w:rsidRPr="00D31028" w:rsidRDefault="007268E0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1 079 680,00</w:t>
            </w:r>
          </w:p>
        </w:tc>
        <w:tc>
          <w:tcPr>
            <w:tcW w:w="1134" w:type="dxa"/>
          </w:tcPr>
          <w:p w:rsidR="00F327BF" w:rsidRPr="00D31028" w:rsidRDefault="007268E0" w:rsidP="00395C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828 500,00</w:t>
            </w:r>
          </w:p>
        </w:tc>
      </w:tr>
    </w:tbl>
    <w:p w:rsidR="004E703B" w:rsidRPr="00D31028" w:rsidRDefault="004E703B" w:rsidP="00395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A4D" w:rsidRPr="00D31028" w:rsidRDefault="004E703B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В настоящее время у нас 6 ЭБС: </w:t>
      </w:r>
      <w:r w:rsidR="00697A5D" w:rsidRPr="00D31028">
        <w:rPr>
          <w:rFonts w:ascii="Times New Roman" w:hAnsi="Times New Roman" w:cs="Times New Roman"/>
          <w:sz w:val="32"/>
          <w:szCs w:val="32"/>
        </w:rPr>
        <w:t>ЭБС «Лань», ОАО «БИБКОМ», ООО  «ИД «Гребенников», ООО «Ай Пи Эр Медиа», ООО «ПОЛПРЕД Справочники», ЭБС «ЮРАЙТ»</w:t>
      </w:r>
      <w:r w:rsidRPr="00D31028">
        <w:rPr>
          <w:rFonts w:ascii="Times New Roman" w:hAnsi="Times New Roman" w:cs="Times New Roman"/>
          <w:sz w:val="32"/>
          <w:szCs w:val="32"/>
        </w:rPr>
        <w:t>.</w:t>
      </w:r>
      <w:r w:rsidR="00545A4D" w:rsidRPr="00D31028">
        <w:rPr>
          <w:rFonts w:ascii="Times New Roman" w:hAnsi="Times New Roman" w:cs="Times New Roman"/>
          <w:sz w:val="32"/>
          <w:szCs w:val="32"/>
        </w:rPr>
        <w:t xml:space="preserve"> Три из них: ООО «Ай Пи Эр Медиа», ЭБС «Лань» и ЭБС «ЮРАЙТ» реализует программы обеспечения учебной литературой лиц в ограниченными возможностями здоровья.  </w:t>
      </w:r>
    </w:p>
    <w:p w:rsidR="00545A4D" w:rsidRPr="00D31028" w:rsidRDefault="00545A4D" w:rsidP="00545A4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bCs/>
          <w:sz w:val="32"/>
          <w:szCs w:val="32"/>
        </w:rPr>
        <w:t xml:space="preserve">Эксклюзивный адаптивный </w:t>
      </w:r>
      <w:proofErr w:type="spellStart"/>
      <w:r w:rsidRPr="00D31028">
        <w:rPr>
          <w:rFonts w:ascii="Times New Roman" w:hAnsi="Times New Roman" w:cs="Times New Roman"/>
          <w:bCs/>
          <w:sz w:val="32"/>
          <w:szCs w:val="32"/>
        </w:rPr>
        <w:t>ридер</w:t>
      </w:r>
      <w:proofErr w:type="spellEnd"/>
      <w:r w:rsidRPr="00D31028">
        <w:rPr>
          <w:rFonts w:ascii="Times New Roman" w:hAnsi="Times New Roman" w:cs="Times New Roman"/>
          <w:bCs/>
          <w:sz w:val="32"/>
          <w:szCs w:val="32"/>
        </w:rPr>
        <w:t xml:space="preserve"> (увеличение масштаба текста до 300%) подходит для</w:t>
      </w:r>
      <w:r w:rsidRPr="00D31028">
        <w:rPr>
          <w:rFonts w:ascii="Times New Roman" w:hAnsi="Times New Roman" w:cs="Times New Roman"/>
          <w:sz w:val="32"/>
          <w:szCs w:val="32"/>
        </w:rPr>
        <w:t xml:space="preserve"> чтения изданий лицами с ограниченными возможностями зрения</w:t>
      </w:r>
      <w:r w:rsidRPr="00D31028">
        <w:rPr>
          <w:rFonts w:ascii="Times New Roman" w:hAnsi="Times New Roman" w:cs="Times New Roman"/>
          <w:bCs/>
          <w:sz w:val="32"/>
          <w:szCs w:val="32"/>
        </w:rPr>
        <w:t xml:space="preserve"> (III группа инвалидности), где </w:t>
      </w:r>
      <w:r w:rsidRPr="00D31028">
        <w:rPr>
          <w:rFonts w:ascii="Times New Roman" w:hAnsi="Times New Roman" w:cs="Times New Roman"/>
          <w:sz w:val="32"/>
          <w:szCs w:val="32"/>
        </w:rPr>
        <w:t>тексты размещены в векторном формате, а не картинкой, что позволяет увеличивать текст без потери качества изображения.</w:t>
      </w:r>
    </w:p>
    <w:p w:rsidR="00545A4D" w:rsidRPr="00D31028" w:rsidRDefault="00545A4D" w:rsidP="00985E0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b/>
          <w:bCs/>
          <w:sz w:val="32"/>
          <w:szCs w:val="32"/>
        </w:rPr>
        <w:t>Специальное мобильное приложения WV-</w:t>
      </w:r>
      <w:proofErr w:type="spellStart"/>
      <w:r w:rsidRPr="00D31028">
        <w:rPr>
          <w:rFonts w:ascii="Times New Roman" w:hAnsi="Times New Roman" w:cs="Times New Roman"/>
          <w:b/>
          <w:bCs/>
          <w:sz w:val="32"/>
          <w:szCs w:val="32"/>
        </w:rPr>
        <w:t>reader</w:t>
      </w:r>
      <w:proofErr w:type="spellEnd"/>
      <w:r w:rsidRPr="00D31028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62260F" w:rsidRPr="00D310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31028">
        <w:rPr>
          <w:rFonts w:ascii="Times New Roman" w:hAnsi="Times New Roman" w:cs="Times New Roman"/>
          <w:sz w:val="32"/>
          <w:szCs w:val="32"/>
        </w:rPr>
        <w:t>для лиц с проблемами зрения и полностью незрячих. Это программное обеспечение предоставляет широкие возможности пользователям. Его отличительными особенностями являются:</w:t>
      </w:r>
    </w:p>
    <w:p w:rsidR="00545A4D" w:rsidRPr="00D31028" w:rsidRDefault="00545A4D" w:rsidP="00985E0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sym w:font="Symbol" w:char="F02D"/>
      </w:r>
      <w:r w:rsidRPr="00D31028">
        <w:rPr>
          <w:rFonts w:ascii="Times New Roman" w:hAnsi="Times New Roman" w:cs="Times New Roman"/>
          <w:sz w:val="32"/>
          <w:szCs w:val="32"/>
        </w:rPr>
        <w:t xml:space="preserve">​ адаптированный интерфейс в </w:t>
      </w:r>
      <w:proofErr w:type="gramStart"/>
      <w:r w:rsidRPr="00D31028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D31028">
        <w:rPr>
          <w:rFonts w:ascii="Times New Roman" w:hAnsi="Times New Roman" w:cs="Times New Roman"/>
          <w:sz w:val="32"/>
          <w:szCs w:val="32"/>
        </w:rPr>
        <w:t xml:space="preserve"> с ГОСТом;</w:t>
      </w:r>
    </w:p>
    <w:p w:rsidR="00545A4D" w:rsidRPr="00D31028" w:rsidRDefault="00545A4D" w:rsidP="00985E0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sym w:font="Symbol" w:char="F02D"/>
      </w:r>
      <w:r w:rsidRPr="00D31028">
        <w:rPr>
          <w:rFonts w:ascii="Times New Roman" w:hAnsi="Times New Roman" w:cs="Times New Roman"/>
          <w:sz w:val="32"/>
          <w:szCs w:val="32"/>
        </w:rPr>
        <w:t>​ запуск и работа при помощи задания команд, что дает возможность использования приложения даже людям с полной потерей зрения;</w:t>
      </w:r>
    </w:p>
    <w:p w:rsidR="00545A4D" w:rsidRPr="00D31028" w:rsidRDefault="00545A4D" w:rsidP="00985E0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sym w:font="Symbol" w:char="F02D"/>
      </w:r>
      <w:r w:rsidRPr="00D31028">
        <w:rPr>
          <w:rFonts w:ascii="Times New Roman" w:hAnsi="Times New Roman" w:cs="Times New Roman"/>
          <w:sz w:val="32"/>
          <w:szCs w:val="32"/>
        </w:rPr>
        <w:t>​ голосовой поиск изданий;</w:t>
      </w:r>
    </w:p>
    <w:p w:rsidR="00545A4D" w:rsidRPr="00D31028" w:rsidRDefault="00545A4D" w:rsidP="00985E0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sym w:font="Symbol" w:char="F02D"/>
      </w:r>
      <w:r w:rsidRPr="00D31028">
        <w:rPr>
          <w:rFonts w:ascii="Times New Roman" w:hAnsi="Times New Roman" w:cs="Times New Roman"/>
          <w:sz w:val="32"/>
          <w:szCs w:val="32"/>
        </w:rPr>
        <w:t>​ голосовые ответы на запросы;</w:t>
      </w:r>
    </w:p>
    <w:p w:rsidR="00395C6E" w:rsidRPr="00D31028" w:rsidRDefault="00545A4D" w:rsidP="00395C6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lastRenderedPageBreak/>
        <w:sym w:font="Symbol" w:char="F02D"/>
      </w:r>
      <w:r w:rsidRPr="00D31028">
        <w:rPr>
          <w:rFonts w:ascii="Cambria Math" w:hAnsi="Cambria Math" w:cs="Cambria Math"/>
          <w:sz w:val="32"/>
          <w:szCs w:val="32"/>
        </w:rPr>
        <w:t>​</w:t>
      </w:r>
      <w:r w:rsidRPr="00D31028">
        <w:rPr>
          <w:rFonts w:ascii="Times New Roman" w:hAnsi="Times New Roman" w:cs="Times New Roman"/>
          <w:sz w:val="32"/>
          <w:szCs w:val="32"/>
        </w:rPr>
        <w:t> встроенный синтезатор речи, позвол</w:t>
      </w:r>
      <w:r w:rsidR="00395C6E" w:rsidRPr="00D31028">
        <w:rPr>
          <w:rFonts w:ascii="Times New Roman" w:hAnsi="Times New Roman" w:cs="Times New Roman"/>
          <w:sz w:val="32"/>
          <w:szCs w:val="32"/>
        </w:rPr>
        <w:t>яющий слушать найденное издание.</w:t>
      </w:r>
    </w:p>
    <w:p w:rsidR="00395C6E" w:rsidRPr="00D31028" w:rsidRDefault="002A1A28" w:rsidP="00395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Преимущества ЭБС:</w:t>
      </w:r>
    </w:p>
    <w:p w:rsidR="002A1A28" w:rsidRPr="00D31028" w:rsidRDefault="002A1A28" w:rsidP="00395C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Получение  доступа к электрон</w:t>
      </w:r>
      <w:r w:rsidR="004E703B" w:rsidRPr="00D31028">
        <w:rPr>
          <w:rFonts w:ascii="Times New Roman" w:hAnsi="Times New Roman" w:cs="Times New Roman"/>
          <w:sz w:val="32"/>
          <w:szCs w:val="32"/>
        </w:rPr>
        <w:t>ным ресурсам, где есть выход в И</w:t>
      </w:r>
      <w:r w:rsidRPr="00D31028">
        <w:rPr>
          <w:rFonts w:ascii="Times New Roman" w:hAnsi="Times New Roman" w:cs="Times New Roman"/>
          <w:sz w:val="32"/>
          <w:szCs w:val="32"/>
        </w:rPr>
        <w:t>нтернет;</w:t>
      </w:r>
    </w:p>
    <w:p w:rsidR="002A1A28" w:rsidRPr="00D31028" w:rsidRDefault="002A1A28" w:rsidP="00395C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Поиск по названию, автору, году издания, по ключевым словам;</w:t>
      </w:r>
    </w:p>
    <w:p w:rsidR="002A1A28" w:rsidRPr="00D31028" w:rsidRDefault="002A1A28" w:rsidP="00395C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Возможность копир</w:t>
      </w:r>
      <w:r w:rsidR="00697A5D" w:rsidRPr="00D31028">
        <w:rPr>
          <w:rFonts w:ascii="Times New Roman" w:hAnsi="Times New Roman" w:cs="Times New Roman"/>
          <w:sz w:val="32"/>
          <w:szCs w:val="32"/>
        </w:rPr>
        <w:t>овать часть книги, цитировать ча</w:t>
      </w:r>
      <w:r w:rsidRPr="00D31028">
        <w:rPr>
          <w:rFonts w:ascii="Times New Roman" w:hAnsi="Times New Roman" w:cs="Times New Roman"/>
          <w:sz w:val="32"/>
          <w:szCs w:val="32"/>
        </w:rPr>
        <w:t>сть содержания, откладывать книгу на виртуальную полку.</w:t>
      </w:r>
    </w:p>
    <w:p w:rsidR="005A39EF" w:rsidRPr="00D31028" w:rsidRDefault="005A39EF" w:rsidP="00395C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Электронные тексты, идентичные печатному изданию;</w:t>
      </w:r>
    </w:p>
    <w:p w:rsidR="005A39EF" w:rsidRPr="00D31028" w:rsidRDefault="005A39EF" w:rsidP="00395C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Одновременный доступ неограниченного числа пользователей к неограниченному количеству книг</w:t>
      </w:r>
      <w:r w:rsidR="0062260F" w:rsidRPr="00D31028">
        <w:rPr>
          <w:rFonts w:ascii="Times New Roman" w:hAnsi="Times New Roman" w:cs="Times New Roman"/>
          <w:sz w:val="32"/>
          <w:szCs w:val="32"/>
        </w:rPr>
        <w:t>.</w:t>
      </w:r>
    </w:p>
    <w:p w:rsidR="00255BDC" w:rsidRPr="00D31028" w:rsidRDefault="00647063" w:rsidP="00985E0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Единой ЭБС, </w:t>
      </w:r>
      <w:r w:rsidR="00255BDC" w:rsidRPr="00D31028">
        <w:rPr>
          <w:rFonts w:ascii="Times New Roman" w:hAnsi="Times New Roman" w:cs="Times New Roman"/>
          <w:sz w:val="32"/>
          <w:szCs w:val="32"/>
        </w:rPr>
        <w:t>способной удовлетворить</w:t>
      </w:r>
      <w:r w:rsidR="0062260F" w:rsidRPr="00D31028">
        <w:rPr>
          <w:rFonts w:ascii="Times New Roman" w:hAnsi="Times New Roman" w:cs="Times New Roman"/>
          <w:sz w:val="32"/>
          <w:szCs w:val="32"/>
        </w:rPr>
        <w:t>,</w:t>
      </w:r>
      <w:r w:rsidR="00255BDC" w:rsidRPr="00D31028">
        <w:rPr>
          <w:rFonts w:ascii="Times New Roman" w:hAnsi="Times New Roman" w:cs="Times New Roman"/>
          <w:sz w:val="32"/>
          <w:szCs w:val="32"/>
        </w:rPr>
        <w:t xml:space="preserve"> потребности по всем направлениям</w:t>
      </w:r>
      <w:r w:rsidR="0062260F" w:rsidRPr="00D31028">
        <w:rPr>
          <w:rFonts w:ascii="Times New Roman" w:hAnsi="Times New Roman" w:cs="Times New Roman"/>
          <w:sz w:val="32"/>
          <w:szCs w:val="32"/>
        </w:rPr>
        <w:t xml:space="preserve"> обучения пока</w:t>
      </w:r>
      <w:r w:rsidR="00255BDC" w:rsidRPr="00D31028">
        <w:rPr>
          <w:rFonts w:ascii="Times New Roman" w:hAnsi="Times New Roman" w:cs="Times New Roman"/>
          <w:sz w:val="32"/>
          <w:szCs w:val="32"/>
        </w:rPr>
        <w:t xml:space="preserve"> нет.</w:t>
      </w:r>
      <w:r w:rsidR="0062260F" w:rsidRPr="00D31028">
        <w:rPr>
          <w:rFonts w:ascii="Times New Roman" w:hAnsi="Times New Roman" w:cs="Times New Roman"/>
          <w:sz w:val="32"/>
          <w:szCs w:val="32"/>
        </w:rPr>
        <w:t xml:space="preserve"> </w:t>
      </w:r>
      <w:r w:rsidR="00255BDC" w:rsidRPr="00D31028">
        <w:rPr>
          <w:rFonts w:ascii="Times New Roman" w:hAnsi="Times New Roman" w:cs="Times New Roman"/>
          <w:sz w:val="32"/>
          <w:szCs w:val="32"/>
        </w:rPr>
        <w:t>Всего дисциплин 1288,</w:t>
      </w:r>
      <w:r w:rsidR="007B20B9" w:rsidRPr="00D31028">
        <w:rPr>
          <w:rFonts w:ascii="Times New Roman" w:hAnsi="Times New Roman" w:cs="Times New Roman"/>
          <w:sz w:val="32"/>
          <w:szCs w:val="32"/>
        </w:rPr>
        <w:t xml:space="preserve"> на сегодняшний день </w:t>
      </w:r>
      <w:proofErr w:type="gramStart"/>
      <w:r w:rsidR="00255BDC" w:rsidRPr="00D31028">
        <w:rPr>
          <w:rFonts w:ascii="Times New Roman" w:hAnsi="Times New Roman" w:cs="Times New Roman"/>
          <w:sz w:val="32"/>
          <w:szCs w:val="32"/>
        </w:rPr>
        <w:t>обеспечены</w:t>
      </w:r>
      <w:proofErr w:type="gramEnd"/>
      <w:r w:rsidR="00255BDC" w:rsidRPr="00D31028">
        <w:rPr>
          <w:rFonts w:ascii="Times New Roman" w:hAnsi="Times New Roman" w:cs="Times New Roman"/>
          <w:sz w:val="32"/>
          <w:szCs w:val="32"/>
        </w:rPr>
        <w:t xml:space="preserve"> электронными ресурсами  81%</w:t>
      </w:r>
      <w:r w:rsidR="007B20B9" w:rsidRPr="00D31028">
        <w:rPr>
          <w:rFonts w:ascii="Times New Roman" w:hAnsi="Times New Roman" w:cs="Times New Roman"/>
          <w:sz w:val="32"/>
          <w:szCs w:val="32"/>
        </w:rPr>
        <w:t xml:space="preserve"> дисциплин.</w:t>
      </w:r>
    </w:p>
    <w:p w:rsidR="001378FC" w:rsidRPr="00D31028" w:rsidRDefault="001378FC" w:rsidP="00985E0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Научная библиотека Пермской ГСХА создает электронные ресурсы собственной генерации. Это электронный каталог и </w:t>
      </w:r>
      <w:proofErr w:type="gramStart"/>
      <w:r w:rsidRPr="00D31028">
        <w:rPr>
          <w:rFonts w:ascii="Times New Roman" w:hAnsi="Times New Roman" w:cs="Times New Roman"/>
          <w:sz w:val="32"/>
          <w:szCs w:val="32"/>
        </w:rPr>
        <w:t>электронная</w:t>
      </w:r>
      <w:proofErr w:type="gramEnd"/>
      <w:r w:rsidRPr="00D31028">
        <w:rPr>
          <w:rFonts w:ascii="Times New Roman" w:hAnsi="Times New Roman" w:cs="Times New Roman"/>
          <w:sz w:val="32"/>
          <w:szCs w:val="32"/>
        </w:rPr>
        <w:t xml:space="preserve"> библиотека. Необходимо отметить, что они зарегистрированы в объединенном </w:t>
      </w:r>
      <w:proofErr w:type="gramStart"/>
      <w:r w:rsidRPr="00D31028">
        <w:rPr>
          <w:rFonts w:ascii="Times New Roman" w:hAnsi="Times New Roman" w:cs="Times New Roman"/>
          <w:sz w:val="32"/>
          <w:szCs w:val="32"/>
        </w:rPr>
        <w:t>фонде</w:t>
      </w:r>
      <w:proofErr w:type="gramEnd"/>
      <w:r w:rsidRPr="00D31028">
        <w:rPr>
          <w:rFonts w:ascii="Times New Roman" w:hAnsi="Times New Roman" w:cs="Times New Roman"/>
          <w:sz w:val="32"/>
          <w:szCs w:val="32"/>
        </w:rPr>
        <w:t xml:space="preserve"> электронных ресурсов «Наука и образование» в 2014 году и имеют свидетельства о регистрации, которые вы прописываете в своих рабочих программах дисциплин. </w:t>
      </w:r>
    </w:p>
    <w:p w:rsidR="00C674B0" w:rsidRPr="00D31028" w:rsidRDefault="002258E6" w:rsidP="00985E0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И поэтому часть читаемых в </w:t>
      </w:r>
      <w:proofErr w:type="gramStart"/>
      <w:r w:rsidRPr="00D31028">
        <w:rPr>
          <w:rFonts w:ascii="Times New Roman" w:hAnsi="Times New Roman" w:cs="Times New Roman"/>
          <w:sz w:val="32"/>
          <w:szCs w:val="32"/>
        </w:rPr>
        <w:t>вузе</w:t>
      </w:r>
      <w:proofErr w:type="gramEnd"/>
      <w:r w:rsidR="0062260F" w:rsidRPr="00D31028">
        <w:rPr>
          <w:rFonts w:ascii="Times New Roman" w:hAnsi="Times New Roman" w:cs="Times New Roman"/>
          <w:sz w:val="32"/>
          <w:szCs w:val="32"/>
        </w:rPr>
        <w:t xml:space="preserve"> дисциплин «закрываются» ресурсами электронной библиотекой академии.</w:t>
      </w:r>
      <w:r w:rsidR="00C674B0" w:rsidRPr="00D31028">
        <w:rPr>
          <w:rFonts w:ascii="Times New Roman" w:hAnsi="Times New Roman" w:cs="Times New Roman"/>
          <w:sz w:val="32"/>
          <w:szCs w:val="32"/>
        </w:rPr>
        <w:t xml:space="preserve"> На 01.09 2017 </w:t>
      </w:r>
      <w:proofErr w:type="gramStart"/>
      <w:r w:rsidR="00C674B0" w:rsidRPr="00D31028">
        <w:rPr>
          <w:rFonts w:ascii="Times New Roman" w:hAnsi="Times New Roman" w:cs="Times New Roman"/>
          <w:sz w:val="32"/>
          <w:szCs w:val="32"/>
        </w:rPr>
        <w:t>электронная</w:t>
      </w:r>
      <w:proofErr w:type="gramEnd"/>
      <w:r w:rsidR="00C674B0" w:rsidRPr="00D31028">
        <w:rPr>
          <w:rFonts w:ascii="Times New Roman" w:hAnsi="Times New Roman" w:cs="Times New Roman"/>
          <w:sz w:val="32"/>
          <w:szCs w:val="32"/>
        </w:rPr>
        <w:t xml:space="preserve"> библиотека  включает 525 документов. </w:t>
      </w:r>
      <w:r w:rsidR="00D521A3" w:rsidRPr="00D31028">
        <w:rPr>
          <w:rFonts w:ascii="Times New Roman" w:hAnsi="Times New Roman" w:cs="Times New Roman"/>
          <w:sz w:val="32"/>
          <w:szCs w:val="32"/>
        </w:rPr>
        <w:t>В 2016 году к</w:t>
      </w:r>
      <w:r w:rsidR="001378FC" w:rsidRPr="00D31028">
        <w:rPr>
          <w:rFonts w:ascii="Times New Roman" w:hAnsi="Times New Roman" w:cs="Times New Roman"/>
          <w:sz w:val="32"/>
          <w:szCs w:val="32"/>
        </w:rPr>
        <w:t xml:space="preserve"> ней</w:t>
      </w:r>
      <w:r w:rsidR="00D521A3" w:rsidRPr="00D31028">
        <w:rPr>
          <w:rFonts w:ascii="Times New Roman" w:hAnsi="Times New Roman" w:cs="Times New Roman"/>
          <w:sz w:val="32"/>
          <w:szCs w:val="32"/>
        </w:rPr>
        <w:t xml:space="preserve"> обратилось 9 148 пользователей.</w:t>
      </w:r>
    </w:p>
    <w:p w:rsidR="00C674B0" w:rsidRPr="00D31028" w:rsidRDefault="00985E03" w:rsidP="00985E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Например,  такие у</w:t>
      </w:r>
      <w:r w:rsidR="00C674B0" w:rsidRPr="00D31028">
        <w:rPr>
          <w:rFonts w:ascii="Times New Roman" w:hAnsi="Times New Roman" w:cs="Times New Roman"/>
          <w:sz w:val="32"/>
          <w:szCs w:val="32"/>
        </w:rPr>
        <w:t>чебные пособия</w:t>
      </w:r>
      <w:r w:rsidRPr="00D31028">
        <w:rPr>
          <w:rFonts w:ascii="Times New Roman" w:hAnsi="Times New Roman" w:cs="Times New Roman"/>
          <w:sz w:val="32"/>
          <w:szCs w:val="32"/>
        </w:rPr>
        <w:t xml:space="preserve"> как</w:t>
      </w:r>
      <w:r w:rsidR="00C674B0" w:rsidRPr="00D31028">
        <w:rPr>
          <w:rFonts w:ascii="Times New Roman" w:hAnsi="Times New Roman" w:cs="Times New Roman"/>
          <w:sz w:val="32"/>
          <w:szCs w:val="32"/>
        </w:rPr>
        <w:t>:</w:t>
      </w:r>
    </w:p>
    <w:p w:rsidR="00C674B0" w:rsidRPr="00D31028" w:rsidRDefault="00985E03" w:rsidP="00985E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Лихачев С.В. Экология  - обеспечивает дисциплину</w:t>
      </w:r>
      <w:r w:rsidR="00C674B0" w:rsidRPr="00D31028">
        <w:rPr>
          <w:rFonts w:ascii="Times New Roman" w:hAnsi="Times New Roman" w:cs="Times New Roman"/>
          <w:sz w:val="32"/>
          <w:szCs w:val="32"/>
        </w:rPr>
        <w:t xml:space="preserve"> «Эк</w:t>
      </w:r>
      <w:r w:rsidRPr="00D31028">
        <w:rPr>
          <w:rFonts w:ascii="Times New Roman" w:hAnsi="Times New Roman" w:cs="Times New Roman"/>
          <w:sz w:val="32"/>
          <w:szCs w:val="32"/>
        </w:rPr>
        <w:t>ология»</w:t>
      </w:r>
      <w:r w:rsidR="00C674B0" w:rsidRPr="00D31028">
        <w:rPr>
          <w:rFonts w:ascii="Times New Roman" w:hAnsi="Times New Roman" w:cs="Times New Roman"/>
          <w:sz w:val="32"/>
          <w:szCs w:val="32"/>
        </w:rPr>
        <w:t>;</w:t>
      </w:r>
    </w:p>
    <w:p w:rsidR="00C674B0" w:rsidRPr="00D31028" w:rsidRDefault="00C674B0" w:rsidP="00985E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Михайлова Л.А. Агрохимия в 3 </w:t>
      </w:r>
      <w:proofErr w:type="gramStart"/>
      <w:r w:rsidRPr="00D31028">
        <w:rPr>
          <w:rFonts w:ascii="Times New Roman" w:hAnsi="Times New Roman" w:cs="Times New Roman"/>
          <w:sz w:val="32"/>
          <w:szCs w:val="32"/>
        </w:rPr>
        <w:t>частях</w:t>
      </w:r>
      <w:proofErr w:type="gramEnd"/>
      <w:r w:rsidRPr="00D31028">
        <w:rPr>
          <w:rFonts w:ascii="Times New Roman" w:hAnsi="Times New Roman" w:cs="Times New Roman"/>
          <w:sz w:val="32"/>
          <w:szCs w:val="32"/>
        </w:rPr>
        <w:t xml:space="preserve"> (дисциплина «Агрохимия»);</w:t>
      </w:r>
    </w:p>
    <w:p w:rsidR="00C674B0" w:rsidRPr="00D31028" w:rsidRDefault="00C674B0" w:rsidP="00985E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lastRenderedPageBreak/>
        <w:t>Самофалова И.А. Современные проблемы классификации почв (однотипно);</w:t>
      </w:r>
    </w:p>
    <w:p w:rsidR="00C674B0" w:rsidRPr="00D31028" w:rsidRDefault="00C674B0" w:rsidP="00985E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Светлакова Н.А. Научные исследования в экономике (однотипно);</w:t>
      </w:r>
    </w:p>
    <w:p w:rsidR="0062260F" w:rsidRPr="00D31028" w:rsidRDefault="00C674B0" w:rsidP="00985E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Яркова Н.Н., Федорова В.М. Семеноведение сельскохозяйственных растений (дисциплина «Семеноведение»).</w:t>
      </w:r>
    </w:p>
    <w:p w:rsidR="0062260F" w:rsidRPr="00D31028" w:rsidRDefault="00C674B0" w:rsidP="00985E0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1028">
        <w:rPr>
          <w:rFonts w:ascii="Times New Roman" w:hAnsi="Times New Roman" w:cs="Times New Roman"/>
          <w:b/>
          <w:sz w:val="32"/>
          <w:szCs w:val="32"/>
        </w:rPr>
        <w:t>Методическая литература (Шайдулин Р.Ф.).</w:t>
      </w:r>
    </w:p>
    <w:p w:rsidR="0062260F" w:rsidRPr="00D31028" w:rsidRDefault="00985E03" w:rsidP="00985E03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 </w:t>
      </w:r>
      <w:r w:rsidR="00395C6E" w:rsidRPr="00D31028">
        <w:rPr>
          <w:rFonts w:ascii="Times New Roman" w:hAnsi="Times New Roman" w:cs="Times New Roman"/>
          <w:sz w:val="32"/>
          <w:szCs w:val="32"/>
        </w:rPr>
        <w:tab/>
      </w:r>
      <w:r w:rsidRPr="00D31028">
        <w:rPr>
          <w:rFonts w:ascii="Times New Roman" w:hAnsi="Times New Roman" w:cs="Times New Roman"/>
          <w:sz w:val="32"/>
          <w:szCs w:val="32"/>
        </w:rPr>
        <w:t>Существенные финансовые вложения по приобретению электронных ресурсов требуют их эффективного использования</w:t>
      </w:r>
      <w:r w:rsidR="00AD5E66" w:rsidRPr="00D31028">
        <w:rPr>
          <w:rFonts w:ascii="Times New Roman" w:hAnsi="Times New Roman" w:cs="Times New Roman"/>
          <w:sz w:val="32"/>
          <w:szCs w:val="32"/>
        </w:rPr>
        <w:t>.</w:t>
      </w:r>
    </w:p>
    <w:p w:rsidR="0062260F" w:rsidRPr="00D31028" w:rsidRDefault="0062260F" w:rsidP="00AD5E66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 Эффективность использования электронных ресурсов.</w:t>
      </w:r>
      <w:r w:rsidR="00D521A3" w:rsidRPr="00D31028">
        <w:rPr>
          <w:rFonts w:ascii="Times New Roman" w:hAnsi="Times New Roman" w:cs="Times New Roman"/>
          <w:sz w:val="32"/>
          <w:szCs w:val="32"/>
        </w:rPr>
        <w:t xml:space="preserve"> Представлю в </w:t>
      </w:r>
      <w:proofErr w:type="gramStart"/>
      <w:r w:rsidR="00D521A3" w:rsidRPr="00D31028">
        <w:rPr>
          <w:rFonts w:ascii="Times New Roman" w:hAnsi="Times New Roman" w:cs="Times New Roman"/>
          <w:sz w:val="32"/>
          <w:szCs w:val="32"/>
        </w:rPr>
        <w:t>сравнении</w:t>
      </w:r>
      <w:proofErr w:type="gramEnd"/>
      <w:r w:rsidR="00D521A3" w:rsidRPr="00D31028">
        <w:rPr>
          <w:rFonts w:ascii="Times New Roman" w:hAnsi="Times New Roman" w:cs="Times New Roman"/>
          <w:sz w:val="32"/>
          <w:szCs w:val="32"/>
        </w:rPr>
        <w:t xml:space="preserve"> два года – 2015 и 2016 год.</w:t>
      </w:r>
    </w:p>
    <w:p w:rsidR="00D521A3" w:rsidRPr="00D31028" w:rsidRDefault="00D521A3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Посещение ЭБС: 2 628 (2015 г.); 8 928 (2016 г.).</w:t>
      </w:r>
    </w:p>
    <w:p w:rsidR="00D521A3" w:rsidRPr="00D31028" w:rsidRDefault="00D521A3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Посещения ЭБ: 6 335 (2015 г.); 11 896 (2016 г.).</w:t>
      </w:r>
    </w:p>
    <w:p w:rsidR="00395C6E" w:rsidRPr="00D31028" w:rsidRDefault="00D521A3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Выгрузка документов из электронных систем составила: 57 035 (2015 г.) и 151 764 (2016 г.).</w:t>
      </w:r>
      <w:r w:rsidR="00F140E8" w:rsidRPr="00D31028">
        <w:rPr>
          <w:rFonts w:ascii="Times New Roman" w:hAnsi="Times New Roman" w:cs="Times New Roman"/>
          <w:sz w:val="32"/>
          <w:szCs w:val="32"/>
        </w:rPr>
        <w:t xml:space="preserve"> Полага</w:t>
      </w:r>
      <w:r w:rsidR="00AD5E66" w:rsidRPr="00D31028">
        <w:rPr>
          <w:rFonts w:ascii="Times New Roman" w:hAnsi="Times New Roman" w:cs="Times New Roman"/>
          <w:sz w:val="32"/>
          <w:szCs w:val="32"/>
        </w:rPr>
        <w:t>ю, что такая тенденция сохранит</w:t>
      </w:r>
      <w:r w:rsidR="00F140E8" w:rsidRPr="00D31028">
        <w:rPr>
          <w:rFonts w:ascii="Times New Roman" w:hAnsi="Times New Roman" w:cs="Times New Roman"/>
          <w:sz w:val="32"/>
          <w:szCs w:val="32"/>
        </w:rPr>
        <w:t xml:space="preserve">ся и в </w:t>
      </w:r>
      <w:proofErr w:type="gramStart"/>
      <w:r w:rsidR="00F140E8" w:rsidRPr="00D31028">
        <w:rPr>
          <w:rFonts w:ascii="Times New Roman" w:hAnsi="Times New Roman" w:cs="Times New Roman"/>
          <w:sz w:val="32"/>
          <w:szCs w:val="32"/>
        </w:rPr>
        <w:t>дальнейшем</w:t>
      </w:r>
      <w:proofErr w:type="gramEnd"/>
      <w:r w:rsidR="00F140E8" w:rsidRPr="00D31028">
        <w:rPr>
          <w:rFonts w:ascii="Times New Roman" w:hAnsi="Times New Roman" w:cs="Times New Roman"/>
          <w:sz w:val="32"/>
          <w:szCs w:val="32"/>
        </w:rPr>
        <w:t>, поскольку преподаватели в соответствии с требованиями ФГОС при составлении рабочих программ дисциплин ориентированы в первую очередь на рекоме</w:t>
      </w:r>
      <w:r w:rsidR="00395C6E" w:rsidRPr="00D31028">
        <w:rPr>
          <w:rFonts w:ascii="Times New Roman" w:hAnsi="Times New Roman" w:cs="Times New Roman"/>
          <w:sz w:val="32"/>
          <w:szCs w:val="32"/>
        </w:rPr>
        <w:t>ндацию студентам изданий из ЭБС.</w:t>
      </w:r>
      <w:r w:rsidR="009872B0" w:rsidRPr="00D31028">
        <w:rPr>
          <w:rFonts w:ascii="Times New Roman" w:hAnsi="Times New Roman" w:cs="Times New Roman"/>
          <w:sz w:val="32"/>
          <w:szCs w:val="32"/>
        </w:rPr>
        <w:t xml:space="preserve"> За лето 2017 года отдел комплектования библиотеки составил свои рекомендации по обеспеченности дисциплин электронными учебниками </w:t>
      </w:r>
      <w:proofErr w:type="gramStart"/>
      <w:r w:rsidR="009872B0" w:rsidRPr="00D31028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9872B0" w:rsidRPr="00D31028">
        <w:rPr>
          <w:rFonts w:ascii="Times New Roman" w:hAnsi="Times New Roman" w:cs="Times New Roman"/>
          <w:sz w:val="32"/>
          <w:szCs w:val="32"/>
        </w:rPr>
        <w:t xml:space="preserve"> закупленных ЭБС. Эти таблицы вы можете увидеть на сайте в разделе «</w:t>
      </w:r>
      <w:proofErr w:type="spellStart"/>
      <w:r w:rsidR="009872B0" w:rsidRPr="00D31028">
        <w:rPr>
          <w:rFonts w:ascii="Times New Roman" w:hAnsi="Times New Roman" w:cs="Times New Roman"/>
          <w:sz w:val="32"/>
          <w:szCs w:val="32"/>
        </w:rPr>
        <w:t>Книгообеспеченность</w:t>
      </w:r>
      <w:proofErr w:type="spellEnd"/>
      <w:r w:rsidR="009872B0" w:rsidRPr="00D31028">
        <w:rPr>
          <w:rFonts w:ascii="Times New Roman" w:hAnsi="Times New Roman" w:cs="Times New Roman"/>
          <w:sz w:val="32"/>
          <w:szCs w:val="32"/>
        </w:rPr>
        <w:t>».</w:t>
      </w:r>
    </w:p>
    <w:p w:rsidR="00395C6E" w:rsidRPr="00D31028" w:rsidRDefault="00395C6E" w:rsidP="00395C6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Количество обращений пользователей к правовым системам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252"/>
        <w:gridCol w:w="1276"/>
        <w:gridCol w:w="1417"/>
        <w:gridCol w:w="1418"/>
        <w:gridCol w:w="1417"/>
      </w:tblGrid>
      <w:tr w:rsidR="00395C6E" w:rsidRPr="00D31028" w:rsidTr="00AA61B6">
        <w:tc>
          <w:tcPr>
            <w:tcW w:w="2400" w:type="dxa"/>
            <w:vAlign w:val="center"/>
            <w:hideMark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База данных/Год</w:t>
            </w:r>
          </w:p>
        </w:tc>
        <w:tc>
          <w:tcPr>
            <w:tcW w:w="1252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276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417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418" w:type="dxa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417" w:type="dxa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395C6E" w:rsidRPr="00D31028" w:rsidTr="00AA61B6">
        <w:tc>
          <w:tcPr>
            <w:tcW w:w="2400" w:type="dxa"/>
            <w:vAlign w:val="center"/>
            <w:hideMark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СПС «Консультант Плюс»</w:t>
            </w:r>
          </w:p>
        </w:tc>
        <w:tc>
          <w:tcPr>
            <w:tcW w:w="1252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644</w:t>
            </w:r>
          </w:p>
        </w:tc>
        <w:tc>
          <w:tcPr>
            <w:tcW w:w="1276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502</w:t>
            </w:r>
          </w:p>
        </w:tc>
        <w:tc>
          <w:tcPr>
            <w:tcW w:w="1417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248</w:t>
            </w:r>
          </w:p>
        </w:tc>
        <w:tc>
          <w:tcPr>
            <w:tcW w:w="1418" w:type="dxa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1417" w:type="dxa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97 (692)</w:t>
            </w:r>
          </w:p>
        </w:tc>
      </w:tr>
      <w:tr w:rsidR="00395C6E" w:rsidRPr="00D31028" w:rsidTr="00AA61B6">
        <w:tc>
          <w:tcPr>
            <w:tcW w:w="2400" w:type="dxa"/>
            <w:vAlign w:val="center"/>
            <w:hideMark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СПС «Гарант»</w:t>
            </w:r>
          </w:p>
        </w:tc>
        <w:tc>
          <w:tcPr>
            <w:tcW w:w="1252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380</w:t>
            </w:r>
          </w:p>
        </w:tc>
        <w:tc>
          <w:tcPr>
            <w:tcW w:w="1276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417" w:type="dxa"/>
            <w:vAlign w:val="center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237</w:t>
            </w:r>
          </w:p>
        </w:tc>
        <w:tc>
          <w:tcPr>
            <w:tcW w:w="1418" w:type="dxa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1417" w:type="dxa"/>
          </w:tcPr>
          <w:p w:rsidR="00395C6E" w:rsidRPr="00D31028" w:rsidRDefault="00395C6E" w:rsidP="00395C6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sz w:val="32"/>
                <w:szCs w:val="32"/>
              </w:rPr>
              <w:t>68 (829)</w:t>
            </w:r>
          </w:p>
        </w:tc>
      </w:tr>
    </w:tbl>
    <w:p w:rsidR="00B37BD9" w:rsidRPr="00D31028" w:rsidRDefault="00B37BD9" w:rsidP="00395C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37BD9" w:rsidRPr="00D31028" w:rsidRDefault="00B37BD9" w:rsidP="00395C6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Показатель 2016 года продемонстрирован двумя цифрами: первая – уникальные пользователи; цифры в </w:t>
      </w:r>
      <w:proofErr w:type="gram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скобках</w:t>
      </w:r>
      <w:proofErr w:type="gramEnd"/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– количество просмотренных документов.</w:t>
      </w:r>
    </w:p>
    <w:p w:rsidR="00B37BD9" w:rsidRPr="00D31028" w:rsidRDefault="00B37BD9" w:rsidP="00395C6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>В 2016 году с использованием СПС «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КонсультантПлюс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» было проведено 4 мероприятия с участием </w:t>
      </w:r>
      <w:r w:rsidRPr="00D31028">
        <w:rPr>
          <w:rFonts w:ascii="Times New Roman" w:hAnsi="Times New Roman" w:cs="Times New Roman"/>
          <w:sz w:val="32"/>
          <w:szCs w:val="32"/>
        </w:rPr>
        <w:t>83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человек (с выдачей сертификатов); с использованием СПС «Гарант»  - 5 мероприятий с участием 71 человека. </w:t>
      </w:r>
    </w:p>
    <w:p w:rsidR="00B37BD9" w:rsidRPr="00D31028" w:rsidRDefault="00B37BD9" w:rsidP="00395C6E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Культурно-информационный центр в 2016 году продолжил работу по предоставлению доступа к электронным ресурсам по сельскохозяйственной тематике. </w:t>
      </w:r>
      <w:r w:rsidR="00752DCA"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Итого в ЭБС «ЮРАЙТ» зарегистрировалось 130 ППС и 1002 студента. В ЭБС «Лань» - </w:t>
      </w:r>
      <w:r w:rsidR="00D62F83" w:rsidRPr="00D31028">
        <w:rPr>
          <w:rFonts w:ascii="Times New Roman" w:hAnsi="Times New Roman" w:cs="Times New Roman"/>
          <w:color w:val="000000"/>
          <w:sz w:val="32"/>
          <w:szCs w:val="32"/>
        </w:rPr>
        <w:t>28 ППС, 2916 студентов.</w:t>
      </w:r>
    </w:p>
    <w:tbl>
      <w:tblPr>
        <w:tblW w:w="1093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8"/>
        <w:gridCol w:w="709"/>
        <w:gridCol w:w="709"/>
      </w:tblGrid>
      <w:tr w:rsidR="00B37BD9" w:rsidTr="00882CEE">
        <w:trPr>
          <w:cantSplit/>
          <w:trHeight w:val="556"/>
        </w:trPr>
        <w:tc>
          <w:tcPr>
            <w:tcW w:w="445" w:type="dxa"/>
            <w:vMerge w:val="restart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10490" w:type="dxa"/>
            <w:gridSpan w:val="17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ЭБС «Лань»</w:t>
            </w:r>
          </w:p>
        </w:tc>
      </w:tr>
      <w:tr w:rsidR="00B37BD9" w:rsidTr="00882CEE">
        <w:trPr>
          <w:cantSplit/>
          <w:trHeight w:val="3126"/>
        </w:trPr>
        <w:tc>
          <w:tcPr>
            <w:tcW w:w="445" w:type="dxa"/>
            <w:vMerge/>
            <w:vAlign w:val="center"/>
            <w:hideMark/>
          </w:tcPr>
          <w:p w:rsidR="00B37BD9" w:rsidRDefault="00B37BD9" w:rsidP="00882CE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</w:t>
            </w:r>
            <w:proofErr w:type="spellStart"/>
            <w:r>
              <w:rPr>
                <w:b/>
                <w:color w:val="000000"/>
              </w:rPr>
              <w:t>Инж</w:t>
            </w:r>
            <w:proofErr w:type="spellEnd"/>
            <w:proofErr w:type="gramStart"/>
            <w:r>
              <w:rPr>
                <w:b/>
                <w:color w:val="000000"/>
              </w:rPr>
              <w:t>.-</w:t>
            </w:r>
            <w:proofErr w:type="spellStart"/>
            <w:proofErr w:type="gramEnd"/>
            <w:r>
              <w:rPr>
                <w:b/>
                <w:color w:val="000000"/>
              </w:rPr>
              <w:t>технич</w:t>
            </w:r>
            <w:proofErr w:type="spellEnd"/>
            <w:r>
              <w:rPr>
                <w:b/>
                <w:color w:val="000000"/>
              </w:rPr>
              <w:t>. науки»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«Ветеринария и сельское хозяйство»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«Лесное хозяйство и </w:t>
            </w:r>
            <w:proofErr w:type="spellStart"/>
            <w:r>
              <w:rPr>
                <w:b/>
                <w:color w:val="000000"/>
              </w:rPr>
              <w:t>лесонженерное</w:t>
            </w:r>
            <w:proofErr w:type="spellEnd"/>
            <w:r>
              <w:rPr>
                <w:b/>
                <w:color w:val="000000"/>
              </w:rPr>
              <w:t xml:space="preserve"> дело»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«География»*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«Экономика и менеджмент»*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«Право. Юридические науки»*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</w:t>
            </w:r>
            <w:r>
              <w:rPr>
                <w:b/>
                <w:color w:val="111111"/>
                <w:sz w:val="21"/>
                <w:szCs w:val="21"/>
              </w:rPr>
              <w:t>Ветеринария</w:t>
            </w:r>
            <w:r>
              <w:rPr>
                <w:b/>
                <w:color w:val="000000"/>
              </w:rPr>
              <w:t>»*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«Психол. </w:t>
            </w:r>
            <w:proofErr w:type="spellStart"/>
            <w:r>
              <w:rPr>
                <w:b/>
                <w:color w:val="000000"/>
              </w:rPr>
              <w:t>Педаг</w:t>
            </w:r>
            <w:proofErr w:type="spellEnd"/>
            <w:r>
              <w:rPr>
                <w:b/>
                <w:color w:val="000000"/>
              </w:rPr>
              <w:t>.»*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«Искусствовед</w:t>
            </w:r>
            <w:proofErr w:type="gramStart"/>
            <w:r>
              <w:rPr>
                <w:b/>
                <w:color w:val="000000"/>
              </w:rPr>
              <w:t>.»*</w:t>
            </w:r>
            <w:proofErr w:type="gramEnd"/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«Медицина»*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«Социально-гуманитарные науки»*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«Технология пищевых производств»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«Художественная литература»*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«Языкознание и литературоведение»*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«Информатика»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«</w:t>
            </w:r>
            <w:r>
              <w:rPr>
                <w:b/>
                <w:color w:val="111111"/>
                <w:sz w:val="14"/>
                <w:szCs w:val="21"/>
              </w:rPr>
              <w:t xml:space="preserve">Социально-гуманитарные науки — Материалы предоставлены Центральной городской библиотекой им. </w:t>
            </w:r>
            <w:proofErr w:type="spellStart"/>
            <w:r>
              <w:rPr>
                <w:b/>
                <w:color w:val="111111"/>
                <w:sz w:val="14"/>
                <w:szCs w:val="21"/>
              </w:rPr>
              <w:t>В.В.Маяковского</w:t>
            </w:r>
            <w:proofErr w:type="spellEnd"/>
            <w:r>
              <w:rPr>
                <w:b/>
                <w:color w:val="000000"/>
                <w:sz w:val="14"/>
              </w:rPr>
              <w:t>»*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«</w:t>
            </w:r>
            <w:r>
              <w:rPr>
                <w:b/>
                <w:color w:val="111111"/>
                <w:sz w:val="16"/>
                <w:szCs w:val="21"/>
                <w:shd w:val="clear" w:color="auto" w:fill="F5F5F5"/>
              </w:rPr>
              <w:t xml:space="preserve">Музыка и театр — Материалы предоставлены Центральной городской библиотекой им. </w:t>
            </w:r>
            <w:proofErr w:type="spellStart"/>
            <w:r>
              <w:rPr>
                <w:b/>
                <w:color w:val="111111"/>
                <w:sz w:val="16"/>
                <w:szCs w:val="21"/>
                <w:shd w:val="clear" w:color="auto" w:fill="F5F5F5"/>
              </w:rPr>
              <w:t>В.В.Маяковского</w:t>
            </w:r>
            <w:proofErr w:type="spellEnd"/>
            <w:r>
              <w:rPr>
                <w:b/>
                <w:color w:val="000000"/>
                <w:sz w:val="16"/>
              </w:rPr>
              <w:t>»*</w:t>
            </w:r>
          </w:p>
        </w:tc>
      </w:tr>
      <w:tr w:rsidR="00B37BD9" w:rsidTr="00882CEE">
        <w:trPr>
          <w:cantSplit/>
          <w:trHeight w:val="954"/>
        </w:trPr>
        <w:tc>
          <w:tcPr>
            <w:tcW w:w="445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7BD9" w:rsidTr="00882CEE">
        <w:trPr>
          <w:cantSplit/>
          <w:trHeight w:val="855"/>
        </w:trPr>
        <w:tc>
          <w:tcPr>
            <w:tcW w:w="445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2015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158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1651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241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45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237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37BD9" w:rsidTr="00882CEE">
        <w:trPr>
          <w:cantSplit/>
          <w:trHeight w:val="824"/>
        </w:trPr>
        <w:tc>
          <w:tcPr>
            <w:tcW w:w="445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2016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6276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646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1309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B37BD9" w:rsidRDefault="00B37BD9" w:rsidP="00B37BD9">
      <w:pPr>
        <w:suppressAutoHyphens/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>
        <w:rPr>
          <w:color w:val="000000"/>
        </w:rPr>
        <w:t>*</w:t>
      </w:r>
      <w:r>
        <w:rPr>
          <w:i/>
          <w:color w:val="000000"/>
        </w:rPr>
        <w:t xml:space="preserve">отмечены те пакеты ЭБС издательства «Лань», которые являются «бонусными», т.е. доступ к ним предоставляется наряду </w:t>
      </w:r>
      <w:proofErr w:type="gramStart"/>
      <w:r>
        <w:rPr>
          <w:i/>
          <w:color w:val="000000"/>
        </w:rPr>
        <w:t>с</w:t>
      </w:r>
      <w:proofErr w:type="gramEnd"/>
      <w:r>
        <w:rPr>
          <w:i/>
          <w:color w:val="000000"/>
        </w:rPr>
        <w:t xml:space="preserve"> уже приобретенными.  Жирным шрифтом отмечены закупаемые пакеты.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568"/>
        <w:gridCol w:w="850"/>
        <w:gridCol w:w="709"/>
        <w:gridCol w:w="709"/>
        <w:gridCol w:w="709"/>
        <w:gridCol w:w="567"/>
        <w:gridCol w:w="708"/>
        <w:gridCol w:w="851"/>
        <w:gridCol w:w="567"/>
        <w:gridCol w:w="850"/>
        <w:gridCol w:w="993"/>
        <w:gridCol w:w="1560"/>
      </w:tblGrid>
      <w:tr w:rsidR="00B37BD9" w:rsidTr="00882CEE">
        <w:trPr>
          <w:cantSplit/>
          <w:trHeight w:val="73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8790" w:type="dxa"/>
            <w:gridSpan w:val="12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Cs w:val="28"/>
              </w:rPr>
              <w:t>ЭБС «</w:t>
            </w:r>
            <w:proofErr w:type="spellStart"/>
            <w:r>
              <w:rPr>
                <w:b/>
                <w:color w:val="000000"/>
                <w:szCs w:val="28"/>
              </w:rPr>
              <w:t>Юрайт</w:t>
            </w:r>
            <w:proofErr w:type="spellEnd"/>
            <w:r>
              <w:rPr>
                <w:b/>
                <w:color w:val="000000"/>
                <w:szCs w:val="28"/>
              </w:rPr>
              <w:t>»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Национальный цифровой ресурс «</w:t>
            </w:r>
            <w:proofErr w:type="spellStart"/>
            <w:r>
              <w:rPr>
                <w:b/>
                <w:color w:val="000000"/>
                <w:sz w:val="20"/>
                <w:szCs w:val="28"/>
              </w:rPr>
              <w:t>Руконт</w:t>
            </w:r>
            <w:proofErr w:type="spellEnd"/>
            <w:r>
              <w:rPr>
                <w:b/>
                <w:color w:val="000000"/>
                <w:sz w:val="20"/>
                <w:szCs w:val="28"/>
              </w:rPr>
              <w:t>»; «Коллекция авторефератов диссертаций ФГБОУ ВПО РГАУ МСХА им. К.А. Тимирязева»</w:t>
            </w:r>
          </w:p>
        </w:tc>
      </w:tr>
      <w:tr w:rsidR="00B37BD9" w:rsidTr="00882CEE">
        <w:trPr>
          <w:cantSplit/>
          <w:trHeight w:val="3565"/>
        </w:trPr>
        <w:tc>
          <w:tcPr>
            <w:tcW w:w="567" w:type="dxa"/>
            <w:vMerge/>
            <w:vAlign w:val="center"/>
            <w:hideMark/>
          </w:tcPr>
          <w:p w:rsidR="00B37BD9" w:rsidRDefault="00B37BD9" w:rsidP="00882CE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710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«Бизнес. Экономика»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«Гуманитарные и общественные науки»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</w:t>
            </w:r>
            <w:r>
              <w:rPr>
                <w:b/>
                <w:color w:val="333333"/>
                <w:sz w:val="21"/>
                <w:szCs w:val="21"/>
                <w:shd w:val="clear" w:color="auto" w:fill="F9F9F9"/>
              </w:rPr>
              <w:t>Педагогика, психология, социальная работа</w:t>
            </w:r>
            <w:r>
              <w:rPr>
                <w:b/>
                <w:color w:val="000000"/>
                <w:szCs w:val="28"/>
              </w:rPr>
              <w:t>»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Естественные науки»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«Здравоохранение. Медицина»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«Компьютеры. Интернет. Информатика»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«Право. Юриспруденция»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«Прикладные науки. Техника»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«Языкознание. Иностранные Математика</w:t>
            </w:r>
            <w:proofErr w:type="gramStart"/>
            <w:r>
              <w:rPr>
                <w:b/>
                <w:color w:val="000000"/>
                <w:szCs w:val="28"/>
              </w:rPr>
              <w:t>.</w:t>
            </w:r>
            <w:proofErr w:type="gramEnd"/>
            <w:r>
              <w:rPr>
                <w:b/>
                <w:color w:val="000000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Cs w:val="28"/>
              </w:rPr>
              <w:t>я</w:t>
            </w:r>
            <w:proofErr w:type="gramEnd"/>
            <w:r>
              <w:rPr>
                <w:b/>
                <w:color w:val="000000"/>
                <w:szCs w:val="28"/>
              </w:rPr>
              <w:t>зыки. Словари»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«Математика. Статистика»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«Сельское хозяйство и природопользование»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«РДП. Рабочие программы по дисциплинам»</w:t>
            </w:r>
          </w:p>
        </w:tc>
        <w:tc>
          <w:tcPr>
            <w:tcW w:w="1559" w:type="dxa"/>
            <w:vMerge/>
            <w:vAlign w:val="center"/>
            <w:hideMark/>
          </w:tcPr>
          <w:p w:rsidR="00B37BD9" w:rsidRDefault="00B37BD9" w:rsidP="00882CEE">
            <w:pPr>
              <w:rPr>
                <w:b/>
                <w:color w:val="000000"/>
                <w:sz w:val="20"/>
                <w:szCs w:val="28"/>
              </w:rPr>
            </w:pPr>
          </w:p>
        </w:tc>
      </w:tr>
      <w:tr w:rsidR="00B37BD9" w:rsidTr="00882CEE">
        <w:trPr>
          <w:cantSplit/>
          <w:trHeight w:val="820"/>
        </w:trPr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71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B37BD9" w:rsidTr="00882CEE">
        <w:trPr>
          <w:cantSplit/>
          <w:trHeight w:val="833"/>
        </w:trPr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71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85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</w:tr>
      <w:tr w:rsidR="00B37BD9" w:rsidTr="00882CEE">
        <w:trPr>
          <w:cantSplit/>
          <w:trHeight w:val="840"/>
        </w:trPr>
        <w:tc>
          <w:tcPr>
            <w:tcW w:w="567" w:type="dxa"/>
            <w:textDirection w:val="btLr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71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85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708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67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50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3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B37BD9" w:rsidRDefault="00B37BD9" w:rsidP="00882C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57 (164)</w:t>
            </w:r>
          </w:p>
        </w:tc>
      </w:tr>
    </w:tbl>
    <w:p w:rsidR="00B37BD9" w:rsidRDefault="00B37BD9" w:rsidP="00B37BD9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37BD9" w:rsidRPr="00D31028" w:rsidRDefault="00B37BD9" w:rsidP="00395C6E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Кроме того, в 2016 году (2-я половина) были заключены контракты с ЭБС </w:t>
      </w:r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IPR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(платформа «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Библиокомплектатор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») и ЭБ 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Grebennikon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(периодические издания по экономическим направлен</w:t>
      </w:r>
      <w:r w:rsidR="00395C6E" w:rsidRPr="00D31028">
        <w:rPr>
          <w:rFonts w:ascii="Times New Roman" w:hAnsi="Times New Roman" w:cs="Times New Roman"/>
          <w:color w:val="000000"/>
          <w:sz w:val="32"/>
          <w:szCs w:val="32"/>
        </w:rPr>
        <w:t>иям)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37BD9" w:rsidRPr="00D31028" w:rsidRDefault="00B37BD9" w:rsidP="00755B3B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Статистика использования ЭБ 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Grebennikon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709"/>
        <w:gridCol w:w="2316"/>
        <w:gridCol w:w="2279"/>
      </w:tblGrid>
      <w:tr w:rsidR="00B37BD9" w:rsidRPr="00D31028" w:rsidTr="00882CEE">
        <w:tc>
          <w:tcPr>
            <w:tcW w:w="2322" w:type="dxa"/>
            <w:vMerge w:val="restart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Год/ Показатель</w:t>
            </w:r>
          </w:p>
        </w:tc>
        <w:tc>
          <w:tcPr>
            <w:tcW w:w="4644" w:type="dxa"/>
            <w:gridSpan w:val="2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Библиокомплектатор</w:t>
            </w:r>
            <w:proofErr w:type="spellEnd"/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2322" w:type="dxa"/>
            <w:vMerge w:val="restart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Grebennikon</w:t>
            </w:r>
            <w:proofErr w:type="spellEnd"/>
          </w:p>
        </w:tc>
      </w:tr>
      <w:tr w:rsidR="00B37BD9" w:rsidRPr="00D31028" w:rsidTr="00882CEE">
        <w:tc>
          <w:tcPr>
            <w:tcW w:w="0" w:type="auto"/>
            <w:vMerge/>
            <w:vAlign w:val="center"/>
            <w:hideMark/>
          </w:tcPr>
          <w:p w:rsidR="00B37BD9" w:rsidRPr="00D31028" w:rsidRDefault="00B37BD9" w:rsidP="00395C6E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«Геодезия. Землеустройство»</w:t>
            </w:r>
          </w:p>
        </w:tc>
        <w:tc>
          <w:tcPr>
            <w:tcW w:w="2322" w:type="dxa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«Информатика и вычислит</w:t>
            </w:r>
            <w:proofErr w:type="gramStart"/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</w:t>
            </w:r>
            <w:proofErr w:type="gramEnd"/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ехника»</w:t>
            </w:r>
          </w:p>
        </w:tc>
        <w:tc>
          <w:tcPr>
            <w:tcW w:w="0" w:type="auto"/>
            <w:vMerge/>
            <w:vAlign w:val="center"/>
            <w:hideMark/>
          </w:tcPr>
          <w:p w:rsidR="00B37BD9" w:rsidRPr="00D31028" w:rsidRDefault="00B37BD9" w:rsidP="00395C6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B37BD9" w:rsidRPr="00D31028" w:rsidTr="00755B3B">
        <w:trPr>
          <w:trHeight w:val="785"/>
        </w:trPr>
        <w:tc>
          <w:tcPr>
            <w:tcW w:w="2322" w:type="dxa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2322" w:type="dxa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322" w:type="dxa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322" w:type="dxa"/>
            <w:vAlign w:val="center"/>
            <w:hideMark/>
          </w:tcPr>
          <w:p w:rsidR="00B37BD9" w:rsidRPr="00D31028" w:rsidRDefault="00B37BD9" w:rsidP="00395C6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310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462 (2 695)</w:t>
            </w:r>
          </w:p>
        </w:tc>
      </w:tr>
    </w:tbl>
    <w:p w:rsidR="00B37BD9" w:rsidRPr="00D31028" w:rsidRDefault="00B37BD9" w:rsidP="00755B3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Также, в тестовом режиме ознакомиться с ресурсами предлагали </w:t>
      </w:r>
      <w:proofErr w:type="gram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следующие</w:t>
      </w:r>
      <w:proofErr w:type="gramEnd"/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ЭБС: </w:t>
      </w:r>
    </w:p>
    <w:p w:rsidR="00B37BD9" w:rsidRPr="00D31028" w:rsidRDefault="00B37BD9" w:rsidP="00755B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gram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Университетская</w:t>
      </w:r>
      <w:proofErr w:type="gramEnd"/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библиотека онлайн» (февраль);</w:t>
      </w:r>
    </w:p>
    <w:p w:rsidR="00B37BD9" w:rsidRPr="00D31028" w:rsidRDefault="00B37BD9" w:rsidP="00755B3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>ООО «ИВИС» (периодически издания; октябрь).</w:t>
      </w:r>
    </w:p>
    <w:p w:rsidR="00395C6E" w:rsidRPr="00D31028" w:rsidRDefault="00B37BD9" w:rsidP="00395C6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Сотрудники Интернет-зала, совместно с другими отделами библиотеки проводят работу по информированию об имеющихся электронных ресурсах – за счет рассылки по электронной почте на 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lastRenderedPageBreak/>
        <w:t>факультеты, кафедры академии, а также при помощи памяток (как в печатном, так и в электронном виде) и отдельных занятий по регистрации и обучению использованию ЭБС. Информация обновляется по мере необходимости.</w:t>
      </w:r>
    </w:p>
    <w:p w:rsidR="00B37BD9" w:rsidRPr="00D31028" w:rsidRDefault="00B37BD9" w:rsidP="00395C6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Более того, на сайте 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pgsha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ru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в раздел «Библиотека» - «Продукты и услуги» постоянно добавляются ссылки на ресурсы, находящиеся в открытом доступе. Это полнотекстовые БД, а также обзоры новостей 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агротематики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>, образования, науки, как на русском, так и на английском языке – такие как «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Киберленинка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>» (</w:t>
      </w:r>
      <w:hyperlink r:id="rId7" w:history="1">
        <w:r w:rsidRPr="00D31028">
          <w:rPr>
            <w:rStyle w:val="a4"/>
            <w:rFonts w:ascii="Times New Roman" w:hAnsi="Times New Roman" w:cs="Times New Roman"/>
            <w:sz w:val="32"/>
            <w:szCs w:val="32"/>
          </w:rPr>
          <w:t>http://cyberleninka.ru/</w:t>
        </w:r>
      </w:hyperlink>
      <w:r w:rsidRPr="00D31028">
        <w:rPr>
          <w:rFonts w:ascii="Times New Roman" w:hAnsi="Times New Roman" w:cs="Times New Roman"/>
          <w:color w:val="000000"/>
          <w:sz w:val="32"/>
          <w:szCs w:val="32"/>
        </w:rPr>
        <w:t>), «Продовольственная и сельскохозяйственная ООН» (</w:t>
      </w:r>
      <w:hyperlink r:id="rId8" w:history="1">
        <w:r w:rsidRPr="00D31028">
          <w:rPr>
            <w:rStyle w:val="a4"/>
            <w:rFonts w:ascii="Times New Roman" w:hAnsi="Times New Roman" w:cs="Times New Roman"/>
            <w:sz w:val="32"/>
            <w:szCs w:val="32"/>
          </w:rPr>
          <w:t>http://www.fao.org/home/ru/</w:t>
        </w:r>
      </w:hyperlink>
      <w:r w:rsidRPr="00D31028">
        <w:rPr>
          <w:rFonts w:ascii="Times New Roman" w:hAnsi="Times New Roman" w:cs="Times New Roman"/>
          <w:color w:val="000000"/>
          <w:sz w:val="32"/>
          <w:szCs w:val="32"/>
        </w:rPr>
        <w:t>), «</w:t>
      </w:r>
      <w:proofErr w:type="spellStart"/>
      <w:r w:rsidRPr="00D31028">
        <w:rPr>
          <w:rFonts w:ascii="Times New Roman" w:hAnsi="Times New Roman" w:cs="Times New Roman"/>
          <w:color w:val="000000"/>
          <w:sz w:val="32"/>
          <w:szCs w:val="32"/>
        </w:rPr>
        <w:t>Информика</w:t>
      </w:r>
      <w:proofErr w:type="spellEnd"/>
      <w:r w:rsidRPr="00D31028">
        <w:rPr>
          <w:rFonts w:ascii="Times New Roman" w:hAnsi="Times New Roman" w:cs="Times New Roman"/>
          <w:color w:val="000000"/>
          <w:sz w:val="32"/>
          <w:szCs w:val="32"/>
        </w:rPr>
        <w:t>» (</w:t>
      </w:r>
      <w:hyperlink r:id="rId9" w:history="1">
        <w:r w:rsidRPr="00D31028">
          <w:rPr>
            <w:rStyle w:val="a4"/>
            <w:rFonts w:ascii="Times New Roman" w:hAnsi="Times New Roman" w:cs="Times New Roman"/>
            <w:sz w:val="32"/>
            <w:szCs w:val="32"/>
          </w:rPr>
          <w:t>http://www.informika.ru/</w:t>
        </w:r>
      </w:hyperlink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), </w:t>
      </w:r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Agricola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National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agriculture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31028">
        <w:rPr>
          <w:rFonts w:ascii="Times New Roman" w:hAnsi="Times New Roman" w:cs="Times New Roman"/>
          <w:color w:val="000000"/>
          <w:sz w:val="32"/>
          <w:szCs w:val="32"/>
          <w:lang w:val="en-US"/>
        </w:rPr>
        <w:t>Library</w:t>
      </w:r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hyperlink r:id="rId10" w:history="1">
        <w:r w:rsidRPr="00D31028">
          <w:rPr>
            <w:rStyle w:val="a4"/>
            <w:rFonts w:ascii="Times New Roman" w:hAnsi="Times New Roman" w:cs="Times New Roman"/>
            <w:sz w:val="32"/>
            <w:szCs w:val="32"/>
          </w:rPr>
          <w:t>http://agricola.nal.usda.gov/</w:t>
        </w:r>
      </w:hyperlink>
      <w:r w:rsidRPr="00D31028">
        <w:rPr>
          <w:rFonts w:ascii="Times New Roman" w:hAnsi="Times New Roman" w:cs="Times New Roman"/>
          <w:color w:val="000000"/>
          <w:sz w:val="32"/>
          <w:szCs w:val="32"/>
        </w:rPr>
        <w:t xml:space="preserve">) и другие. </w:t>
      </w:r>
    </w:p>
    <w:p w:rsidR="00B37BD9" w:rsidRPr="00D31028" w:rsidRDefault="009617E0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С 2015 года библиотека занимается и размещением выпускных  квалификационных работ бакалавров и специалистов</w:t>
      </w:r>
      <w:r w:rsidR="00755B3B" w:rsidRPr="00D31028">
        <w:rPr>
          <w:rFonts w:ascii="Times New Roman" w:hAnsi="Times New Roman" w:cs="Times New Roman"/>
          <w:sz w:val="32"/>
          <w:szCs w:val="32"/>
        </w:rPr>
        <w:t>;</w:t>
      </w:r>
      <w:r w:rsidRPr="00D31028">
        <w:rPr>
          <w:rFonts w:ascii="Times New Roman" w:hAnsi="Times New Roman" w:cs="Times New Roman"/>
          <w:sz w:val="32"/>
          <w:szCs w:val="32"/>
        </w:rPr>
        <w:t xml:space="preserve"> и магистерских диссертаций.</w:t>
      </w:r>
      <w:r w:rsidR="00752DCA" w:rsidRPr="00D31028">
        <w:rPr>
          <w:rFonts w:ascii="Times New Roman" w:hAnsi="Times New Roman" w:cs="Times New Roman"/>
          <w:sz w:val="32"/>
          <w:szCs w:val="32"/>
        </w:rPr>
        <w:t xml:space="preserve"> Так, в 2016 году размещено 435 работ, а в 2017 г. - 677. </w:t>
      </w:r>
    </w:p>
    <w:p w:rsidR="00755B3B" w:rsidRPr="00D31028" w:rsidRDefault="00203663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Основной вектор модернизации образовательного процесса – повышение роли самостоятельной работы студентов, благодаря исследовательской и проекторной деятельности, эффективному использованию информационных и коммуникативных технологий. Реализация этого направления возможна при максимальном охвате студентов информа</w:t>
      </w:r>
      <w:r w:rsidR="00755B3B" w:rsidRPr="00D31028">
        <w:rPr>
          <w:rFonts w:ascii="Times New Roman" w:hAnsi="Times New Roman" w:cs="Times New Roman"/>
          <w:sz w:val="32"/>
          <w:szCs w:val="32"/>
        </w:rPr>
        <w:t xml:space="preserve">ционно-библиотечным </w:t>
      </w:r>
      <w:r w:rsidRPr="00D31028">
        <w:rPr>
          <w:rFonts w:ascii="Times New Roman" w:hAnsi="Times New Roman" w:cs="Times New Roman"/>
          <w:sz w:val="32"/>
          <w:szCs w:val="32"/>
        </w:rPr>
        <w:t>обслуживанием.</w:t>
      </w:r>
      <w:r w:rsidR="00EC5FFF" w:rsidRPr="00D310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663" w:rsidRPr="00D31028" w:rsidRDefault="00EC5FFF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Для обучения преподавателей и студентов пользованию электронными ресурсами в библиотеке организуются Дни информации, Дни кафедр, Недели дипломника, индивидуальные консультации, презентации и др.</w:t>
      </w:r>
      <w:r w:rsidR="00395C6E" w:rsidRPr="00D31028">
        <w:rPr>
          <w:rFonts w:ascii="Times New Roman" w:hAnsi="Times New Roman" w:cs="Times New Roman"/>
          <w:sz w:val="32"/>
          <w:szCs w:val="32"/>
        </w:rPr>
        <w:t xml:space="preserve"> В 2016 г. активизировалась новая форма работы – виртуальная выставка, количество обращений к которой составило – 926. </w:t>
      </w:r>
    </w:p>
    <w:p w:rsidR="00C3598D" w:rsidRPr="00D31028" w:rsidRDefault="00C3598D" w:rsidP="00395C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Последнее время на библиотечных сайтах</w:t>
      </w:r>
      <w:r w:rsidR="007F38EF" w:rsidRPr="00D31028">
        <w:rPr>
          <w:rFonts w:ascii="Times New Roman" w:hAnsi="Times New Roman" w:cs="Times New Roman"/>
          <w:sz w:val="32"/>
          <w:szCs w:val="32"/>
        </w:rPr>
        <w:t xml:space="preserve"> (на</w:t>
      </w:r>
      <w:r w:rsidR="00467177" w:rsidRPr="00D31028">
        <w:rPr>
          <w:rFonts w:ascii="Times New Roman" w:hAnsi="Times New Roman" w:cs="Times New Roman"/>
          <w:sz w:val="32"/>
          <w:szCs w:val="32"/>
        </w:rPr>
        <w:t xml:space="preserve">пример – </w:t>
      </w:r>
      <w:proofErr w:type="spellStart"/>
      <w:r w:rsidR="00467177" w:rsidRPr="00D31028">
        <w:rPr>
          <w:rFonts w:ascii="Times New Roman" w:hAnsi="Times New Roman" w:cs="Times New Roman"/>
          <w:sz w:val="32"/>
          <w:szCs w:val="32"/>
        </w:rPr>
        <w:t>СпбПУ</w:t>
      </w:r>
      <w:proofErr w:type="spellEnd"/>
      <w:r w:rsidR="007F38EF" w:rsidRPr="00D31028">
        <w:rPr>
          <w:rFonts w:ascii="Times New Roman" w:hAnsi="Times New Roman" w:cs="Times New Roman"/>
          <w:sz w:val="32"/>
          <w:szCs w:val="32"/>
        </w:rPr>
        <w:t>, Казанский федеральный университет</w:t>
      </w:r>
      <w:r w:rsidR="00467177" w:rsidRPr="00D31028">
        <w:rPr>
          <w:rFonts w:ascii="Times New Roman" w:hAnsi="Times New Roman" w:cs="Times New Roman"/>
          <w:sz w:val="32"/>
          <w:szCs w:val="32"/>
        </w:rPr>
        <w:t>)</w:t>
      </w:r>
      <w:r w:rsidRPr="00D31028">
        <w:rPr>
          <w:rFonts w:ascii="Times New Roman" w:hAnsi="Times New Roman" w:cs="Times New Roman"/>
          <w:sz w:val="32"/>
          <w:szCs w:val="32"/>
        </w:rPr>
        <w:t xml:space="preserve"> стали появляться новые формы поиска – так называемые сервисы </w:t>
      </w:r>
      <w:proofErr w:type="spellStart"/>
      <w:r w:rsidRPr="00D31028">
        <w:rPr>
          <w:rFonts w:ascii="Times New Roman" w:hAnsi="Times New Roman" w:cs="Times New Roman"/>
          <w:sz w:val="32"/>
          <w:szCs w:val="32"/>
        </w:rPr>
        <w:t>дискавери</w:t>
      </w:r>
      <w:proofErr w:type="spellEnd"/>
      <w:r w:rsidRPr="00D31028">
        <w:rPr>
          <w:rFonts w:ascii="Times New Roman" w:hAnsi="Times New Roman" w:cs="Times New Roman"/>
          <w:sz w:val="32"/>
          <w:szCs w:val="32"/>
        </w:rPr>
        <w:t xml:space="preserve">, когда через единую точку доступа поиск выполняется по электронным ресурсам и базам данных различных поставщиков, но при этом </w:t>
      </w:r>
      <w:r w:rsidRPr="00D31028">
        <w:rPr>
          <w:rFonts w:ascii="Times New Roman" w:hAnsi="Times New Roman" w:cs="Times New Roman"/>
          <w:sz w:val="32"/>
          <w:szCs w:val="32"/>
        </w:rPr>
        <w:lastRenderedPageBreak/>
        <w:t>используется совсем друга</w:t>
      </w:r>
      <w:bookmarkStart w:id="0" w:name="_GoBack"/>
      <w:bookmarkEnd w:id="0"/>
      <w:r w:rsidRPr="00D31028">
        <w:rPr>
          <w:rFonts w:ascii="Times New Roman" w:hAnsi="Times New Roman" w:cs="Times New Roman"/>
          <w:sz w:val="32"/>
          <w:szCs w:val="32"/>
        </w:rPr>
        <w:t xml:space="preserve">я технологическая платформа. Новое качество поиска обеспечивается за счет двух основных свойств </w:t>
      </w:r>
      <w:proofErr w:type="spellStart"/>
      <w:r w:rsidRPr="00D31028">
        <w:rPr>
          <w:rFonts w:ascii="Times New Roman" w:hAnsi="Times New Roman" w:cs="Times New Roman"/>
          <w:sz w:val="32"/>
          <w:szCs w:val="32"/>
        </w:rPr>
        <w:t>дискавери</w:t>
      </w:r>
      <w:proofErr w:type="spellEnd"/>
      <w:r w:rsidRPr="00D31028">
        <w:rPr>
          <w:rFonts w:ascii="Times New Roman" w:hAnsi="Times New Roman" w:cs="Times New Roman"/>
          <w:sz w:val="32"/>
          <w:szCs w:val="32"/>
        </w:rPr>
        <w:t>-систем:</w:t>
      </w:r>
    </w:p>
    <w:p w:rsidR="00C3598D" w:rsidRPr="00D31028" w:rsidRDefault="00C3598D" w:rsidP="00C359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>Поддерживается стратегия поиска с гарантированно ненулевым результатом;</w:t>
      </w:r>
    </w:p>
    <w:p w:rsidR="00467177" w:rsidRPr="00D31028" w:rsidRDefault="00C3598D" w:rsidP="004671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Создается центральный поисковый индекс, объединяющий записи из всех каталогов и баз, доступных в интерфейсе </w:t>
      </w:r>
      <w:proofErr w:type="spellStart"/>
      <w:r w:rsidRPr="00D31028">
        <w:rPr>
          <w:rFonts w:ascii="Times New Roman" w:hAnsi="Times New Roman" w:cs="Times New Roman"/>
          <w:sz w:val="32"/>
          <w:szCs w:val="32"/>
        </w:rPr>
        <w:t>дискавери</w:t>
      </w:r>
      <w:proofErr w:type="spellEnd"/>
      <w:r w:rsidRPr="00D31028">
        <w:rPr>
          <w:rFonts w:ascii="Times New Roman" w:hAnsi="Times New Roman" w:cs="Times New Roman"/>
          <w:sz w:val="32"/>
          <w:szCs w:val="32"/>
        </w:rPr>
        <w:t>.</w:t>
      </w:r>
      <w:r w:rsidR="00467177" w:rsidRPr="00D310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C6E" w:rsidRPr="00D31028" w:rsidRDefault="00395C6E" w:rsidP="004671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Веб-сайт библиотеки должен обладать полным набором навигационных инструментов, чтобы читатель мог легко найти необходимую информацию. Кроме того, через веб-сайт пользователю должен быть предоставлен доступ к сводным каталогам и другим корпоративным библиотечно-информационным ресурсам национального и международного уровня. В 2016 году состоялось 45 169 (2015 г.- 25 853) обращений на </w:t>
      </w:r>
      <w:proofErr w:type="gramStart"/>
      <w:r w:rsidRPr="00D31028">
        <w:rPr>
          <w:rFonts w:ascii="Times New Roman" w:hAnsi="Times New Roman" w:cs="Times New Roman"/>
          <w:sz w:val="32"/>
          <w:szCs w:val="32"/>
        </w:rPr>
        <w:t>Интернет-странице</w:t>
      </w:r>
      <w:proofErr w:type="gramEnd"/>
      <w:r w:rsidRPr="00D31028">
        <w:rPr>
          <w:rFonts w:ascii="Times New Roman" w:hAnsi="Times New Roman" w:cs="Times New Roman"/>
          <w:sz w:val="32"/>
          <w:szCs w:val="32"/>
        </w:rPr>
        <w:t xml:space="preserve"> библиотеки.</w:t>
      </w:r>
    </w:p>
    <w:p w:rsidR="009E3189" w:rsidRPr="009E3189" w:rsidRDefault="00467177" w:rsidP="009E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28">
        <w:rPr>
          <w:rFonts w:ascii="Times New Roman" w:hAnsi="Times New Roman" w:cs="Times New Roman"/>
          <w:sz w:val="32"/>
          <w:szCs w:val="32"/>
        </w:rPr>
        <w:t xml:space="preserve">Эта та задача, которую необходимо будет решать библиотеке и </w:t>
      </w:r>
      <w:proofErr w:type="spellStart"/>
      <w:r w:rsidRPr="00D31028">
        <w:rPr>
          <w:rFonts w:ascii="Times New Roman" w:hAnsi="Times New Roman" w:cs="Times New Roman"/>
          <w:sz w:val="32"/>
          <w:szCs w:val="32"/>
        </w:rPr>
        <w:t>ОКиИ</w:t>
      </w:r>
      <w:proofErr w:type="spellEnd"/>
      <w:r w:rsidRPr="00D31028">
        <w:rPr>
          <w:rFonts w:ascii="Times New Roman" w:hAnsi="Times New Roman" w:cs="Times New Roman"/>
          <w:sz w:val="32"/>
          <w:szCs w:val="32"/>
        </w:rPr>
        <w:t xml:space="preserve"> в ближайшем будущем. </w:t>
      </w:r>
      <w:r w:rsidR="007F38EF" w:rsidRPr="00D31028">
        <w:rPr>
          <w:rFonts w:ascii="Times New Roman" w:hAnsi="Times New Roman" w:cs="Times New Roman"/>
          <w:sz w:val="32"/>
          <w:szCs w:val="32"/>
        </w:rPr>
        <w:t>Таким образом, необходимо, с одной стороны, улучшить качество поискового сервиса, а с другой стороны – решить задачу интеграции все</w:t>
      </w:r>
      <w:r w:rsidR="009E3189" w:rsidRPr="00D31028">
        <w:rPr>
          <w:rFonts w:ascii="Times New Roman" w:hAnsi="Times New Roman" w:cs="Times New Roman"/>
          <w:sz w:val="32"/>
          <w:szCs w:val="32"/>
        </w:rPr>
        <w:t>х электронных ресурсов академии</w:t>
      </w:r>
      <w:r w:rsidR="009E3189">
        <w:rPr>
          <w:rFonts w:ascii="Times New Roman" w:hAnsi="Times New Roman" w:cs="Times New Roman"/>
          <w:sz w:val="28"/>
          <w:szCs w:val="28"/>
        </w:rPr>
        <w:t>.</w:t>
      </w:r>
    </w:p>
    <w:sectPr w:rsidR="009E3189" w:rsidRPr="009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8BF"/>
    <w:multiLevelType w:val="hybridMultilevel"/>
    <w:tmpl w:val="C78E37DA"/>
    <w:lvl w:ilvl="0" w:tplc="0D605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0F9B"/>
    <w:multiLevelType w:val="hybridMultilevel"/>
    <w:tmpl w:val="A30A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EC"/>
    <w:multiLevelType w:val="hybridMultilevel"/>
    <w:tmpl w:val="D14E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6CA1"/>
    <w:multiLevelType w:val="hybridMultilevel"/>
    <w:tmpl w:val="0A90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C44A5"/>
    <w:multiLevelType w:val="hybridMultilevel"/>
    <w:tmpl w:val="5E3E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0B2"/>
    <w:multiLevelType w:val="hybridMultilevel"/>
    <w:tmpl w:val="B5368526"/>
    <w:lvl w:ilvl="0" w:tplc="E9D052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E4526EB"/>
    <w:multiLevelType w:val="hybridMultilevel"/>
    <w:tmpl w:val="92A442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394DB2"/>
    <w:multiLevelType w:val="hybridMultilevel"/>
    <w:tmpl w:val="C77C6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D"/>
    <w:rsid w:val="000119B4"/>
    <w:rsid w:val="000132BB"/>
    <w:rsid w:val="000430F9"/>
    <w:rsid w:val="000A0485"/>
    <w:rsid w:val="000D1E77"/>
    <w:rsid w:val="001378FC"/>
    <w:rsid w:val="00203663"/>
    <w:rsid w:val="002258E6"/>
    <w:rsid w:val="00255BDC"/>
    <w:rsid w:val="00292C4C"/>
    <w:rsid w:val="002A1A28"/>
    <w:rsid w:val="002C06E9"/>
    <w:rsid w:val="002C1C9C"/>
    <w:rsid w:val="002D47AB"/>
    <w:rsid w:val="002D732B"/>
    <w:rsid w:val="003178EB"/>
    <w:rsid w:val="0032799D"/>
    <w:rsid w:val="00354F68"/>
    <w:rsid w:val="00395C6E"/>
    <w:rsid w:val="0044334F"/>
    <w:rsid w:val="00451E21"/>
    <w:rsid w:val="00467177"/>
    <w:rsid w:val="00484B58"/>
    <w:rsid w:val="004E1252"/>
    <w:rsid w:val="004E703B"/>
    <w:rsid w:val="00524E56"/>
    <w:rsid w:val="00540F3E"/>
    <w:rsid w:val="00545A4D"/>
    <w:rsid w:val="005A39EF"/>
    <w:rsid w:val="0062260F"/>
    <w:rsid w:val="00647063"/>
    <w:rsid w:val="006501CA"/>
    <w:rsid w:val="00697A5D"/>
    <w:rsid w:val="007268E0"/>
    <w:rsid w:val="00752DCA"/>
    <w:rsid w:val="00755B3B"/>
    <w:rsid w:val="00785AC6"/>
    <w:rsid w:val="00786285"/>
    <w:rsid w:val="007A76EB"/>
    <w:rsid w:val="007B0189"/>
    <w:rsid w:val="007B20B9"/>
    <w:rsid w:val="007F38EF"/>
    <w:rsid w:val="00804C03"/>
    <w:rsid w:val="008A1EA1"/>
    <w:rsid w:val="00943BD5"/>
    <w:rsid w:val="00952EB8"/>
    <w:rsid w:val="009617E0"/>
    <w:rsid w:val="00985E03"/>
    <w:rsid w:val="009872B0"/>
    <w:rsid w:val="00995953"/>
    <w:rsid w:val="009C0D22"/>
    <w:rsid w:val="009E3189"/>
    <w:rsid w:val="00AD5E66"/>
    <w:rsid w:val="00B16280"/>
    <w:rsid w:val="00B37BD9"/>
    <w:rsid w:val="00B46A3B"/>
    <w:rsid w:val="00BA2096"/>
    <w:rsid w:val="00C00A30"/>
    <w:rsid w:val="00C01CD2"/>
    <w:rsid w:val="00C3598D"/>
    <w:rsid w:val="00C40C80"/>
    <w:rsid w:val="00C674B0"/>
    <w:rsid w:val="00C75835"/>
    <w:rsid w:val="00D01D89"/>
    <w:rsid w:val="00D21CF3"/>
    <w:rsid w:val="00D31028"/>
    <w:rsid w:val="00D521A3"/>
    <w:rsid w:val="00D62F83"/>
    <w:rsid w:val="00D86B1A"/>
    <w:rsid w:val="00E27638"/>
    <w:rsid w:val="00E97244"/>
    <w:rsid w:val="00EA0F44"/>
    <w:rsid w:val="00EC5FFF"/>
    <w:rsid w:val="00F140E8"/>
    <w:rsid w:val="00F327BF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9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9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home/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yberlenink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gricola.nal.usda.g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A842-8A1B-431B-815C-9663F62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Валентина Степановна</dc:creator>
  <cp:lastModifiedBy>Гриценко</cp:lastModifiedBy>
  <cp:revision>54</cp:revision>
  <cp:lastPrinted>2017-09-07T12:27:00Z</cp:lastPrinted>
  <dcterms:created xsi:type="dcterms:W3CDTF">2017-06-15T05:31:00Z</dcterms:created>
  <dcterms:modified xsi:type="dcterms:W3CDTF">2017-09-07T12:27:00Z</dcterms:modified>
</cp:coreProperties>
</file>